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ПСКОВСКАЯ ОБЛАСТЬ</w:t>
      </w:r>
    </w:p>
    <w:p w14:paraId="0C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 «ДЕДОВИЧИ»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АДМИНИСТРАЦИЯ ГОРОДСКОГО ПОСЕЛЕНИЯ «ДЕДОВИЧИ»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ПОСТАНОВЛ</w:t>
      </w:r>
      <w:r>
        <w:rPr>
          <w:rFonts w:ascii="Times New Roman" w:hAnsi="Times New Roman"/>
          <w:sz w:val="28"/>
        </w:rPr>
        <w:t>ЕНИЕ</w:t>
      </w:r>
    </w:p>
    <w:p w14:paraId="0D000000">
      <w:pPr>
        <w:ind/>
        <w:jc w:val="center"/>
        <w:rPr>
          <w:rFonts w:ascii="Times New Roman" w:hAnsi="Times New Roman"/>
          <w:sz w:val="28"/>
        </w:rPr>
      </w:pPr>
    </w:p>
    <w:p w14:paraId="0E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 31.05.2024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№ 102</w:t>
      </w:r>
    </w:p>
    <w:p w14:paraId="0F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</w:t>
      </w:r>
      <w:r>
        <w:rPr>
          <w:rFonts w:ascii="Times New Roman" w:hAnsi="Times New Roman"/>
          <w:sz w:val="26"/>
        </w:rPr>
        <w:t>п. Дедовичи</w:t>
      </w:r>
    </w:p>
    <w:p w14:paraId="10000000">
      <w:pPr>
        <w:rPr>
          <w:rFonts w:ascii="Times New Roman" w:hAnsi="Times New Roman"/>
          <w:sz w:val="26"/>
        </w:rPr>
      </w:pPr>
    </w:p>
    <w:p w14:paraId="11000000">
      <w:pPr>
        <w:rPr>
          <w:rFonts w:ascii="Times New Roman" w:hAnsi="Times New Roman"/>
        </w:rPr>
      </w:pPr>
    </w:p>
    <w:p w14:paraId="12000000">
      <w:pPr>
        <w:pStyle w:val="Style_2"/>
        <w:keepNext w:val="0"/>
        <w:keepLines w:val="0"/>
        <w:widowControl w:val="0"/>
        <w:spacing w:after="880" w:before="0" w:line="240" w:lineRule="auto"/>
        <w:ind w:firstLine="0" w:left="0" w:right="0"/>
        <w:jc w:val="left"/>
        <w:rPr>
          <w:b w:val="0"/>
        </w:rPr>
      </w:pPr>
      <w:r>
        <w:rPr>
          <w:b w:val="0"/>
          <w:color w:val="000000"/>
          <w:spacing w:val="0"/>
        </w:rPr>
        <w:t xml:space="preserve">Об источниках наружного противопожарного </w:t>
      </w:r>
      <w:r>
        <w:rPr>
          <w:b w:val="0"/>
        </w:rPr>
        <w:br/>
      </w:r>
      <w:r>
        <w:rPr>
          <w:b w:val="0"/>
          <w:color w:val="000000"/>
          <w:spacing w:val="0"/>
        </w:rPr>
        <w:t xml:space="preserve">водоснабжения для целей </w:t>
      </w:r>
      <w:r>
        <w:rPr>
          <w:b w:val="0"/>
          <w:color w:val="000000"/>
          <w:spacing w:val="0"/>
        </w:rPr>
        <w:t>пожаротушения на</w:t>
      </w:r>
      <w:r>
        <w:rPr>
          <w:b w:val="0"/>
          <w:color w:val="000000"/>
          <w:spacing w:val="0"/>
        </w:rPr>
        <w:t xml:space="preserve"> </w:t>
      </w:r>
      <w:r>
        <w:rPr>
          <w:b w:val="0"/>
        </w:rPr>
        <w:br/>
      </w:r>
      <w:r>
        <w:rPr>
          <w:b w:val="0"/>
          <w:color w:val="000000"/>
          <w:spacing w:val="0"/>
        </w:rPr>
        <w:t>территории муниципального образования «Дедовичи</w:t>
      </w:r>
      <w:r>
        <w:rPr>
          <w:b w:val="0"/>
          <w:color w:val="000000"/>
          <w:spacing w:val="0"/>
        </w:rPr>
        <w:t>»</w:t>
      </w:r>
    </w:p>
    <w:p w14:paraId="13000000">
      <w:pPr>
        <w:pStyle w:val="Style_2"/>
        <w:keepNext w:val="0"/>
        <w:keepLines w:val="0"/>
        <w:widowControl w:val="0"/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В соответствии с</w:t>
      </w:r>
      <w:r>
        <w:rPr>
          <w:color w:val="000000"/>
          <w:spacing w:val="0"/>
        </w:rPr>
        <w:t xml:space="preserve"> Федеральным законом от 21.12.1994 № 69-ФЗ «О пожарной безопасности»,</w:t>
      </w:r>
      <w:r>
        <w:rPr>
          <w:color w:val="000000"/>
          <w:spacing w:val="0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«Дедовичи», </w:t>
      </w:r>
      <w:r>
        <w:t>Администрация городского поселения «Дедовичи» ПОСТАНОВЛЯЕТ:</w:t>
      </w:r>
    </w:p>
    <w:p w14:paraId="14000000">
      <w:pPr>
        <w:pStyle w:val="Style_2"/>
        <w:keepNext w:val="0"/>
        <w:keepLines w:val="0"/>
        <w:widowControl w:val="0"/>
        <w:spacing w:after="0" w:before="0" w:line="240" w:lineRule="auto"/>
        <w:ind w:firstLine="680" w:left="0" w:right="0"/>
        <w:jc w:val="both"/>
      </w:pPr>
    </w:p>
    <w:p w14:paraId="15000000">
      <w:pPr>
        <w:pStyle w:val="Style_2"/>
        <w:keepNext w:val="0"/>
        <w:keepLines w:val="0"/>
        <w:widowControl w:val="0"/>
        <w:numPr>
          <w:ilvl w:val="0"/>
          <w:numId w:val="1"/>
        </w:numPr>
        <w:tabs>
          <w:tab w:leader="none" w:pos="989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Утвердить:</w:t>
      </w:r>
    </w:p>
    <w:p w14:paraId="16000000">
      <w:pPr>
        <w:pStyle w:val="Style_2"/>
        <w:keepNext w:val="0"/>
        <w:keepLines w:val="0"/>
        <w:widowControl w:val="0"/>
        <w:numPr>
          <w:ilvl w:val="1"/>
          <w:numId w:val="1"/>
        </w:numPr>
        <w:tabs>
          <w:tab w:leader="none" w:pos="1202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 xml:space="preserve">Правила учёта и проверки наружного противопожарного водоснабжения на территории муниципального образования «Дедовичи» </w:t>
      </w:r>
      <w:r>
        <w:rPr>
          <w:rFonts w:ascii="Times New Roman" w:hAnsi="Times New Roman"/>
          <w:sz w:val="26"/>
        </w:rPr>
        <w:t xml:space="preserve">согласно приложению 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 к настоящему </w:t>
      </w:r>
      <w:r>
        <w:rPr>
          <w:color w:val="000000"/>
          <w:spacing w:val="0"/>
          <w:sz w:val="26"/>
        </w:rPr>
        <w:t>постановлению.</w:t>
      </w:r>
    </w:p>
    <w:p w14:paraId="17000000">
      <w:pPr>
        <w:pStyle w:val="Style_2"/>
        <w:keepNext w:val="0"/>
        <w:keepLines w:val="0"/>
        <w:widowControl w:val="0"/>
        <w:numPr>
          <w:ilvl w:val="1"/>
          <w:numId w:val="1"/>
        </w:numPr>
        <w:tabs>
          <w:tab w:leader="none" w:pos="1202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 xml:space="preserve">Перечень пожарных гидрантов и иных наружных источников противопожарного водоснабжения, находящихся на территории муниципального образования «Дедовичи» </w:t>
      </w:r>
      <w:r>
        <w:rPr>
          <w:rFonts w:ascii="Times New Roman" w:hAnsi="Times New Roman"/>
          <w:sz w:val="26"/>
        </w:rPr>
        <w:t>согласно приложению 2</w:t>
      </w:r>
      <w:r>
        <w:rPr>
          <w:rFonts w:ascii="Times New Roman" w:hAnsi="Times New Roman"/>
          <w:sz w:val="26"/>
        </w:rPr>
        <w:t xml:space="preserve"> к настоящему </w:t>
      </w:r>
      <w:r>
        <w:rPr>
          <w:color w:val="000000"/>
          <w:spacing w:val="0"/>
          <w:sz w:val="26"/>
        </w:rPr>
        <w:t>постановлению.</w:t>
      </w:r>
    </w:p>
    <w:p w14:paraId="18000000">
      <w:pPr>
        <w:pStyle w:val="Style_2"/>
        <w:keepNext w:val="0"/>
        <w:keepLines w:val="0"/>
        <w:widowControl w:val="0"/>
        <w:numPr>
          <w:ilvl w:val="1"/>
          <w:numId w:val="1"/>
        </w:numPr>
        <w:tabs>
          <w:tab w:leader="none" w:pos="1202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Проводить два раза в год проверку источников наружного противопожарного водоснабжения на территории муниципального образования «Дедовичи», находящихся на водопроводных сетях поселения, результаты проверки оформлять актом.</w:t>
      </w:r>
    </w:p>
    <w:p w14:paraId="19000000">
      <w:pPr>
        <w:pStyle w:val="Style_2"/>
        <w:keepNext w:val="0"/>
        <w:keepLines w:val="0"/>
        <w:widowControl w:val="0"/>
        <w:numPr>
          <w:ilvl w:val="0"/>
          <w:numId w:val="1"/>
        </w:numPr>
        <w:tabs>
          <w:tab w:leader="none" w:pos="1002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Настоящее постановление вступает в силу на следующий день после его обнародования.</w:t>
      </w:r>
    </w:p>
    <w:p w14:paraId="1A000000">
      <w:pPr>
        <w:pStyle w:val="Style_2"/>
        <w:keepNext w:val="0"/>
        <w:keepLines w:val="0"/>
        <w:widowControl w:val="0"/>
        <w:numPr>
          <w:ilvl w:val="0"/>
          <w:numId w:val="1"/>
        </w:numPr>
        <w:tabs>
          <w:tab w:leader="none" w:pos="1002" w:val="left"/>
        </w:tabs>
        <w:spacing w:after="0" w:before="0" w:line="240" w:lineRule="auto"/>
        <w:ind w:firstLine="680" w:left="0" w:right="0"/>
        <w:jc w:val="both"/>
      </w:pPr>
      <w:r>
        <w:t xml:space="preserve">  </w:t>
      </w:r>
      <w:r>
        <w:t>Контроль за исполнением настоящего постановления оставляю за собой.</w:t>
      </w:r>
    </w:p>
    <w:p w14:paraId="1B000000">
      <w:pPr>
        <w:ind/>
        <w:jc w:val="both"/>
        <w:rPr>
          <w:rFonts w:ascii="Times New Roman" w:hAnsi="Times New Roman"/>
        </w:rPr>
      </w:pPr>
    </w:p>
    <w:p w14:paraId="1C000000">
      <w:pPr>
        <w:ind/>
        <w:jc w:val="both"/>
        <w:rPr>
          <w:rFonts w:ascii="Times New Roman" w:hAnsi="Times New Roman"/>
        </w:rPr>
      </w:pPr>
    </w:p>
    <w:p w14:paraId="1D000000">
      <w:p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>
        <w:rPr>
          <w:rFonts w:ascii="Times New Roman" w:hAnsi="Times New Roman"/>
        </w:rPr>
        <w:t xml:space="preserve"> Администрации городского</w:t>
      </w:r>
      <w:r>
        <w:br/>
      </w:r>
      <w:r>
        <w:rPr>
          <w:rFonts w:ascii="Times New Roman" w:hAnsi="Times New Roman"/>
        </w:rPr>
        <w:t xml:space="preserve">поселения «Дедовичи»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И.В. Гаврилова</w:t>
      </w:r>
    </w:p>
    <w:p w14:paraId="1E000000">
      <w:pPr>
        <w:ind/>
        <w:jc w:val="right"/>
        <w:rPr>
          <w:rFonts w:ascii="Times New Roman" w:hAnsi="Times New Roman"/>
          <w:sz w:val="20"/>
        </w:rPr>
      </w:pPr>
    </w:p>
    <w:p w14:paraId="1F000000">
      <w:pPr>
        <w:ind/>
        <w:jc w:val="right"/>
        <w:rPr>
          <w:rFonts w:ascii="Times New Roman" w:hAnsi="Times New Roman"/>
          <w:sz w:val="20"/>
        </w:rPr>
      </w:pPr>
    </w:p>
    <w:p w14:paraId="20000000">
      <w:pPr>
        <w:ind/>
        <w:jc w:val="right"/>
        <w:rPr>
          <w:rFonts w:ascii="Times New Roman" w:hAnsi="Times New Roman"/>
          <w:sz w:val="20"/>
        </w:rPr>
      </w:pPr>
    </w:p>
    <w:p w14:paraId="21000000">
      <w:pPr>
        <w:ind/>
        <w:jc w:val="right"/>
        <w:rPr>
          <w:rFonts w:ascii="Times New Roman" w:hAnsi="Times New Roman"/>
          <w:sz w:val="20"/>
        </w:rPr>
      </w:pPr>
    </w:p>
    <w:p w14:paraId="22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</w:t>
      </w:r>
    </w:p>
    <w:p w14:paraId="23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постановлению Администрации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городского</w:t>
      </w:r>
      <w:r>
        <w:br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поселения </w:t>
      </w: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от  31.05.2024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102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24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25000000">
      <w:pPr>
        <w:pStyle w:val="Style_2"/>
        <w:keepNext w:val="0"/>
        <w:keepLines w:val="0"/>
        <w:widowControl w:val="0"/>
        <w:spacing w:after="0" w:before="0" w:line="240" w:lineRule="auto"/>
        <w:ind w:firstLine="0" w:left="0" w:right="0"/>
        <w:jc w:val="center"/>
      </w:pPr>
      <w:r>
        <w:rPr>
          <w:b w:val="1"/>
          <w:color w:val="000000"/>
          <w:spacing w:val="0"/>
        </w:rPr>
        <w:t>Правила</w:t>
      </w:r>
    </w:p>
    <w:p w14:paraId="26000000">
      <w:pPr>
        <w:pStyle w:val="Style_2"/>
        <w:keepNext w:val="0"/>
        <w:keepLines w:val="0"/>
        <w:widowControl w:val="0"/>
        <w:spacing w:after="280" w:before="0" w:line="240" w:lineRule="auto"/>
        <w:ind w:firstLine="0" w:left="0" w:right="0"/>
        <w:jc w:val="center"/>
      </w:pPr>
      <w:r>
        <w:rPr>
          <w:b w:val="1"/>
          <w:color w:val="000000"/>
          <w:spacing w:val="0"/>
        </w:rPr>
        <w:t>учёта и проверки наружного противопожарного водоснабжения на</w:t>
      </w:r>
      <w:r>
        <w:rPr>
          <w:b w:val="1"/>
          <w:color w:val="000000"/>
          <w:spacing w:val="0"/>
        </w:rPr>
        <w:br/>
      </w:r>
      <w:r>
        <w:rPr>
          <w:b w:val="1"/>
          <w:color w:val="000000"/>
          <w:spacing w:val="0"/>
        </w:rPr>
        <w:t>территории муниципального образования «Дедовичи</w:t>
      </w:r>
      <w:r>
        <w:rPr>
          <w:b w:val="1"/>
          <w:color w:val="000000"/>
          <w:spacing w:val="0"/>
        </w:rPr>
        <w:t>»</w:t>
      </w:r>
    </w:p>
    <w:p w14:paraId="27000000">
      <w:pPr>
        <w:pStyle w:val="Style_3"/>
        <w:keepNext w:val="1"/>
        <w:keepLines w:val="1"/>
        <w:widowControl w:val="0"/>
        <w:tabs>
          <w:tab w:leader="none" w:pos="969" w:val="left"/>
        </w:tabs>
        <w:spacing w:after="0" w:before="0" w:line="240" w:lineRule="auto"/>
        <w:ind w:firstLine="660" w:left="0" w:right="0"/>
        <w:jc w:val="left"/>
      </w:pPr>
      <w:bookmarkStart w:id="1" w:name="bookmark2"/>
      <w:r>
        <w:rPr>
          <w:color w:val="000000"/>
          <w:spacing w:val="0"/>
        </w:rPr>
        <w:t>1. Общие положения</w:t>
      </w:r>
      <w:bookmarkEnd w:id="1"/>
    </w:p>
    <w:p w14:paraId="28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185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Настоящие Правила действуют на всей территории муниципального образования «Дедовичи» и обязательны для исполнения организацией водопроводного хозяйства, эксплуатирующей водопроводную сеть муниципального образования «Дедовичи».</w:t>
      </w:r>
    </w:p>
    <w:p w14:paraId="29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185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Наружное противопожарное водоснабжение поселения включает в себя: водопровод, пожарные водоёмы,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- правовой формы.</w:t>
      </w:r>
    </w:p>
    <w:p w14:paraId="2A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185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Ответственность за техническое состояние источников наружного противопожарного водоснабжения и установку указателей несёт организация водопроводного хозяйства поселения или абонент, в ведении которого они находятся.</w:t>
      </w:r>
    </w:p>
    <w:p w14:paraId="2B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185" w:val="left"/>
        </w:tabs>
        <w:spacing w:after="280" w:before="0" w:line="240" w:lineRule="auto"/>
        <w:ind w:firstLine="680" w:left="0" w:right="0"/>
        <w:jc w:val="both"/>
      </w:pPr>
      <w:r>
        <w:rPr>
          <w:color w:val="000000"/>
          <w:spacing w:val="0"/>
        </w:rPr>
        <w:t>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14:paraId="2C000000">
      <w:pPr>
        <w:pStyle w:val="Style_3"/>
        <w:keepNext w:val="1"/>
        <w:keepLines w:val="1"/>
        <w:widowControl w:val="0"/>
        <w:tabs>
          <w:tab w:leader="none" w:pos="992" w:val="left"/>
        </w:tabs>
        <w:spacing w:after="0" w:before="0" w:line="240" w:lineRule="auto"/>
        <w:ind w:firstLine="680" w:left="0" w:right="0"/>
        <w:jc w:val="both"/>
      </w:pPr>
      <w:bookmarkStart w:id="2" w:name="bookmark4"/>
      <w:r>
        <w:rPr>
          <w:color w:val="000000"/>
          <w:spacing w:val="0"/>
        </w:rPr>
        <w:t>2. Техническое состояние, эксплуатация и требования к источникам противопожарного водоснабжения.</w:t>
      </w:r>
      <w:bookmarkEnd w:id="2"/>
    </w:p>
    <w:p w14:paraId="2D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185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14:paraId="2E000000">
      <w:pPr>
        <w:pStyle w:val="Style_2"/>
        <w:keepNext w:val="0"/>
        <w:keepLines w:val="0"/>
        <w:widowControl w:val="0"/>
        <w:numPr>
          <w:ilvl w:val="0"/>
          <w:numId w:val="3"/>
        </w:numPr>
        <w:tabs>
          <w:tab w:leader="none" w:pos="211" w:val="left"/>
        </w:tabs>
        <w:spacing w:after="0" w:before="0" w:line="240" w:lineRule="auto"/>
        <w:ind w:firstLine="0" w:left="0" w:right="0"/>
        <w:jc w:val="both"/>
      </w:pPr>
      <w:r>
        <w:rPr>
          <w:color w:val="000000"/>
          <w:spacing w:val="0"/>
        </w:rPr>
        <w:t>качественной приёмкой всех систем водоснабжения по окончании их строительства, реконструкции и ремонта;</w:t>
      </w:r>
    </w:p>
    <w:p w14:paraId="2F000000">
      <w:pPr>
        <w:pStyle w:val="Style_2"/>
        <w:keepNext w:val="0"/>
        <w:keepLines w:val="0"/>
        <w:widowControl w:val="0"/>
        <w:numPr>
          <w:ilvl w:val="0"/>
          <w:numId w:val="3"/>
        </w:numPr>
        <w:tabs>
          <w:tab w:leader="none" w:pos="208" w:val="left"/>
        </w:tabs>
        <w:spacing w:after="0" w:before="0" w:line="240" w:lineRule="auto"/>
        <w:ind w:firstLine="0" w:left="0" w:right="0"/>
        <w:jc w:val="both"/>
      </w:pPr>
      <w:r>
        <w:rPr>
          <w:color w:val="000000"/>
          <w:spacing w:val="0"/>
        </w:rPr>
        <w:t>точным учётом всех источников противопожарного водоснабжения;</w:t>
      </w:r>
    </w:p>
    <w:p w14:paraId="30000000">
      <w:pPr>
        <w:pStyle w:val="Style_2"/>
        <w:keepNext w:val="0"/>
        <w:keepLines w:val="0"/>
        <w:widowControl w:val="0"/>
        <w:numPr>
          <w:ilvl w:val="0"/>
          <w:numId w:val="3"/>
        </w:numPr>
        <w:tabs>
          <w:tab w:leader="none" w:pos="211" w:val="left"/>
        </w:tabs>
        <w:spacing w:after="0" w:before="0" w:line="240" w:lineRule="auto"/>
        <w:ind w:firstLine="0" w:left="0" w:right="0"/>
        <w:jc w:val="left"/>
      </w:pPr>
      <w:r>
        <w:rPr>
          <w:color w:val="000000"/>
          <w:spacing w:val="0"/>
        </w:rPr>
        <w:t>систематическим контролем за состоянием водоисточников;</w:t>
      </w:r>
      <w:r>
        <w:br/>
      </w:r>
      <w:r>
        <w:rPr>
          <w:color w:val="000000"/>
          <w:spacing w:val="0"/>
        </w:rPr>
        <w:t>- периодическим испытанием водопроводных сетей на водоотдачу (1 раз в год);</w:t>
      </w:r>
    </w:p>
    <w:p w14:paraId="31000000">
      <w:pPr>
        <w:pStyle w:val="Style_2"/>
        <w:keepNext w:val="0"/>
        <w:keepLines w:val="0"/>
        <w:widowControl w:val="0"/>
        <w:numPr>
          <w:ilvl w:val="0"/>
          <w:numId w:val="3"/>
        </w:numPr>
        <w:tabs>
          <w:tab w:leader="none" w:pos="241" w:val="left"/>
        </w:tabs>
        <w:spacing w:after="0" w:before="0" w:line="240" w:lineRule="auto"/>
        <w:ind w:firstLine="0" w:left="0" w:right="0"/>
        <w:jc w:val="both"/>
      </w:pPr>
      <w:r>
        <w:rPr>
          <w:color w:val="000000"/>
          <w:spacing w:val="0"/>
        </w:rPr>
        <w:t>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14:paraId="32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205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Источники наружного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3,5 м.</w:t>
      </w:r>
    </w:p>
    <w:p w14:paraId="33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211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Свободный напор в сети противопожарного водопровода низкого давления (на поверхности земли) при пожаротушении должен быть не менее 10 м.</w:t>
      </w:r>
    </w:p>
    <w:p w14:paraId="34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215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 xml:space="preserve">Пожарные водоёмы должны быть наполнены водой. К водоёмам должен быть обеспечен подъезд с твердым покрытием и разворотной площадкой размером </w:t>
      </w:r>
      <w:r>
        <w:rPr>
          <w:color w:val="000000"/>
          <w:spacing w:val="0"/>
        </w:rPr>
        <w:t xml:space="preserve">12x12 </w:t>
      </w:r>
      <w:r>
        <w:rPr>
          <w:color w:val="000000"/>
          <w:spacing w:val="0"/>
        </w:rPr>
        <w:t>м. При наличии ’’сухого” и ’’мокрого” колодцев крышки их люков должны быть обозначены указателями. В ’’сухом" колодце должна быть установлена задвижка, штурвал который должен быть введён под крышку люка.</w:t>
      </w:r>
    </w:p>
    <w:p w14:paraId="35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201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Электроснабжение предприятия должно обеспечивать бесперебойное питание электродвигателей пожарных насосов.</w:t>
      </w:r>
    </w:p>
    <w:p w14:paraId="36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211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- ежемесячно.</w:t>
      </w:r>
    </w:p>
    <w:p w14:paraId="37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215" w:val="left"/>
        </w:tabs>
        <w:spacing w:after="260" w:before="0" w:line="240" w:lineRule="auto"/>
        <w:ind w:firstLine="680" w:left="0" w:right="0"/>
        <w:jc w:val="both"/>
      </w:pPr>
      <w:r>
        <w:rPr>
          <w:color w:val="000000"/>
          <w:spacing w:val="0"/>
        </w:rPr>
        <w:t>Источники наружного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14:paraId="38000000">
      <w:pPr>
        <w:pStyle w:val="Style_3"/>
        <w:keepNext w:val="1"/>
        <w:keepLines w:val="1"/>
        <w:widowControl w:val="0"/>
        <w:tabs>
          <w:tab w:leader="none" w:pos="1019" w:val="left"/>
        </w:tabs>
        <w:spacing w:after="0" w:before="0" w:line="240" w:lineRule="auto"/>
        <w:ind w:firstLine="680" w:left="0" w:right="0"/>
        <w:jc w:val="both"/>
      </w:pPr>
      <w:bookmarkStart w:id="3" w:name="bookmark6"/>
      <w:r>
        <w:rPr>
          <w:color w:val="000000"/>
          <w:spacing w:val="0"/>
        </w:rPr>
        <w:t>3. Учет и порядок проверки противопожарного водоснабжения.</w:t>
      </w:r>
      <w:bookmarkEnd w:id="3"/>
    </w:p>
    <w:p w14:paraId="39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205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14:paraId="3A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205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Проверка противопожарного водоснабжения производится 2 раза в год.</w:t>
      </w:r>
    </w:p>
    <w:p w14:paraId="3B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812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При проверке пожарного водоема проверяется:</w:t>
      </w:r>
    </w:p>
    <w:p w14:paraId="3C000000">
      <w:pPr>
        <w:pStyle w:val="Style_2"/>
        <w:keepNext w:val="0"/>
        <w:keepLines w:val="0"/>
        <w:widowControl w:val="0"/>
        <w:numPr>
          <w:ilvl w:val="0"/>
          <w:numId w:val="4"/>
        </w:numPr>
        <w:tabs>
          <w:tab w:leader="none" w:pos="235" w:val="left"/>
        </w:tabs>
        <w:spacing w:after="0" w:before="0" w:line="240" w:lineRule="auto"/>
        <w:ind w:right="0"/>
        <w:jc w:val="both"/>
      </w:pPr>
      <w:r>
        <w:rPr>
          <w:color w:val="000000"/>
          <w:spacing w:val="0"/>
        </w:rPr>
        <w:t>наличие на видном месте указателя установленного образца;</w:t>
      </w:r>
    </w:p>
    <w:p w14:paraId="3D000000">
      <w:pPr>
        <w:pStyle w:val="Style_2"/>
        <w:keepNext w:val="0"/>
        <w:keepLines w:val="0"/>
        <w:widowControl w:val="0"/>
        <w:numPr>
          <w:ilvl w:val="0"/>
          <w:numId w:val="5"/>
        </w:numPr>
        <w:tabs>
          <w:tab w:leader="none" w:pos="231" w:val="left"/>
        </w:tabs>
        <w:spacing w:after="0" w:before="0" w:line="240" w:lineRule="auto"/>
        <w:ind w:right="0"/>
        <w:jc w:val="both"/>
      </w:pPr>
      <w:r>
        <w:rPr>
          <w:color w:val="000000"/>
          <w:spacing w:val="0"/>
        </w:rPr>
        <w:t>возможность беспрепятственного подъезда к пожарному водоему;</w:t>
      </w:r>
    </w:p>
    <w:p w14:paraId="3E000000">
      <w:pPr>
        <w:pStyle w:val="Style_2"/>
        <w:keepNext w:val="0"/>
        <w:keepLines w:val="0"/>
        <w:widowControl w:val="0"/>
        <w:numPr>
          <w:ilvl w:val="0"/>
          <w:numId w:val="6"/>
        </w:numPr>
        <w:tabs>
          <w:tab w:leader="none" w:pos="235" w:val="left"/>
        </w:tabs>
        <w:spacing w:after="0" w:before="0" w:line="240" w:lineRule="auto"/>
        <w:ind w:right="0"/>
        <w:jc w:val="both"/>
      </w:pPr>
      <w:r>
        <w:rPr>
          <w:color w:val="000000"/>
          <w:spacing w:val="0"/>
        </w:rPr>
        <w:t>степень заполнения водой и возможность его пополнения;</w:t>
      </w:r>
    </w:p>
    <w:p w14:paraId="3F000000">
      <w:pPr>
        <w:pStyle w:val="Style_2"/>
        <w:keepNext w:val="0"/>
        <w:keepLines w:val="0"/>
        <w:widowControl w:val="0"/>
        <w:numPr>
          <w:ilvl w:val="0"/>
          <w:numId w:val="7"/>
        </w:numPr>
        <w:tabs>
          <w:tab w:leader="none" w:pos="231" w:val="left"/>
        </w:tabs>
        <w:spacing w:after="0" w:before="0" w:line="240" w:lineRule="auto"/>
        <w:ind w:right="0"/>
        <w:jc w:val="both"/>
      </w:pPr>
      <w:r>
        <w:rPr>
          <w:color w:val="000000"/>
          <w:spacing w:val="0"/>
        </w:rPr>
        <w:t>наличие площадки перед водоемом для забора воды;</w:t>
      </w:r>
    </w:p>
    <w:p w14:paraId="40000000">
      <w:pPr>
        <w:pStyle w:val="Style_2"/>
        <w:keepNext w:val="0"/>
        <w:keepLines w:val="0"/>
        <w:widowControl w:val="0"/>
        <w:numPr>
          <w:ilvl w:val="0"/>
          <w:numId w:val="8"/>
        </w:numPr>
        <w:tabs>
          <w:tab w:leader="none" w:pos="238" w:val="left"/>
        </w:tabs>
        <w:spacing w:after="0" w:before="0" w:line="240" w:lineRule="auto"/>
        <w:ind w:right="0"/>
        <w:jc w:val="both"/>
      </w:pPr>
      <w:r>
        <w:rPr>
          <w:color w:val="000000"/>
          <w:spacing w:val="0"/>
        </w:rPr>
        <w:t>герметичность задвижек (при их наличии);</w:t>
      </w:r>
    </w:p>
    <w:p w14:paraId="41000000">
      <w:pPr>
        <w:pStyle w:val="Style_2"/>
        <w:keepNext w:val="0"/>
        <w:keepLines w:val="0"/>
        <w:widowControl w:val="0"/>
        <w:numPr>
          <w:ilvl w:val="0"/>
          <w:numId w:val="9"/>
        </w:numPr>
        <w:tabs>
          <w:tab w:leader="none" w:pos="238" w:val="left"/>
        </w:tabs>
        <w:spacing w:after="260" w:before="0" w:line="240" w:lineRule="auto"/>
        <w:ind w:right="0"/>
        <w:jc w:val="both"/>
      </w:pPr>
      <w:r>
        <w:rPr>
          <w:color w:val="000000"/>
          <w:spacing w:val="0"/>
        </w:rPr>
        <w:t>наличие проруби при отрицательной температуре воздуха (для открытых водоемов).</w:t>
      </w:r>
    </w:p>
    <w:p w14:paraId="42000000">
      <w:pPr>
        <w:pStyle w:val="Style_2"/>
        <w:keepNext w:val="0"/>
        <w:keepLines w:val="0"/>
        <w:widowControl w:val="0"/>
        <w:tabs>
          <w:tab w:leader="none" w:pos="1010" w:val="left"/>
        </w:tabs>
        <w:spacing w:after="260" w:before="0" w:line="240" w:lineRule="auto"/>
        <w:ind w:firstLine="660" w:left="0" w:right="0"/>
        <w:jc w:val="both"/>
      </w:pPr>
      <w:r>
        <w:rPr>
          <w:b w:val="1"/>
          <w:color w:val="000000"/>
          <w:spacing w:val="0"/>
        </w:rPr>
        <w:t>4. Инвентаризация противопожарного водоснабжения.</w:t>
      </w:r>
    </w:p>
    <w:p w14:paraId="43000000">
      <w:pPr>
        <w:sectPr>
          <w:headerReference r:id="rId7" w:type="first"/>
          <w:headerReference r:id="rId3" w:type="default"/>
          <w:footerReference r:id="rId4" w:type="default"/>
          <w:pgSz w:h="15840" w:orient="portrait" w:w="12240"/>
          <w:pgMar w:bottom="1134" w:footer="3" w:gutter="0" w:header="0" w:left="2103" w:right="1208" w:top="1049"/>
          <w:pgNumType w:start="1"/>
          <w:titlePg/>
        </w:sectPr>
      </w:pPr>
    </w:p>
    <w:p w14:paraId="44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181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Инвентаризация противопожарного водоснабжения проводится не реже одного раза в пять лет.</w:t>
      </w:r>
    </w:p>
    <w:p w14:paraId="45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185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14:paraId="46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188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Для проведения инвентаризации водоснабжения постановлением Администрации городского поселения «Дедовичи» создается межведомственная комиссия, в состав которой входят: представители органов местного самоуправления муниципального образования «Дедовичи», органа государственного пожарного надзора, организации водопроводного хозяйства, абоненты.</w:t>
      </w:r>
    </w:p>
    <w:p w14:paraId="47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188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Комиссия путем детальной проверки каждого водоисточника уточняет:</w:t>
      </w:r>
    </w:p>
    <w:p w14:paraId="48000000">
      <w:pPr>
        <w:pStyle w:val="Style_2"/>
        <w:keepNext w:val="0"/>
        <w:keepLines w:val="0"/>
        <w:widowControl w:val="0"/>
        <w:numPr>
          <w:ilvl w:val="0"/>
          <w:numId w:val="10"/>
        </w:numPr>
        <w:tabs>
          <w:tab w:leader="none" w:pos="208" w:val="left"/>
        </w:tabs>
        <w:spacing w:after="0" w:before="0" w:line="240" w:lineRule="auto"/>
        <w:ind w:right="0"/>
        <w:jc w:val="both"/>
      </w:pPr>
      <w:r>
        <w:rPr>
          <w:color w:val="000000"/>
          <w:spacing w:val="0"/>
        </w:rPr>
        <w:t>вид, численность и состояние источников противопожарного водоснабжения, наличие подъездов к ним;</w:t>
      </w:r>
    </w:p>
    <w:p w14:paraId="49000000">
      <w:pPr>
        <w:pStyle w:val="Style_2"/>
        <w:keepNext w:val="0"/>
        <w:keepLines w:val="0"/>
        <w:widowControl w:val="0"/>
        <w:numPr>
          <w:ilvl w:val="0"/>
          <w:numId w:val="11"/>
        </w:numPr>
        <w:tabs>
          <w:tab w:leader="none" w:pos="211" w:val="left"/>
        </w:tabs>
        <w:spacing w:after="0" w:before="0" w:line="240" w:lineRule="auto"/>
        <w:ind w:right="0"/>
        <w:jc w:val="both"/>
      </w:pPr>
      <w:r>
        <w:rPr>
          <w:color w:val="000000"/>
          <w:spacing w:val="0"/>
        </w:rPr>
        <w:t>причины сокращения количества водоисточников;</w:t>
      </w:r>
    </w:p>
    <w:p w14:paraId="4A000000">
      <w:pPr>
        <w:pStyle w:val="Style_2"/>
        <w:keepNext w:val="0"/>
        <w:keepLines w:val="0"/>
        <w:widowControl w:val="0"/>
        <w:numPr>
          <w:ilvl w:val="0"/>
          <w:numId w:val="12"/>
        </w:numPr>
        <w:tabs>
          <w:tab w:leader="none" w:pos="211" w:val="left"/>
        </w:tabs>
        <w:spacing w:after="0" w:before="0" w:line="240" w:lineRule="auto"/>
        <w:ind w:right="0"/>
        <w:jc w:val="both"/>
      </w:pPr>
      <w:r>
        <w:rPr>
          <w:color w:val="000000"/>
          <w:spacing w:val="0"/>
        </w:rPr>
        <w:t>диаметры водопроводных магистралей, участков, характеристики сетей, количество водопроводных вводов;</w:t>
      </w:r>
    </w:p>
    <w:p w14:paraId="4B000000">
      <w:pPr>
        <w:pStyle w:val="Style_2"/>
        <w:keepNext w:val="0"/>
        <w:keepLines w:val="0"/>
        <w:widowControl w:val="0"/>
        <w:numPr>
          <w:ilvl w:val="0"/>
          <w:numId w:val="13"/>
        </w:numPr>
        <w:tabs>
          <w:tab w:leader="none" w:pos="211" w:val="left"/>
        </w:tabs>
        <w:spacing w:after="0" w:before="0" w:line="240" w:lineRule="auto"/>
        <w:ind w:right="0"/>
        <w:jc w:val="both"/>
      </w:pPr>
      <w:r>
        <w:rPr>
          <w:color w:val="000000"/>
          <w:spacing w:val="0"/>
        </w:rPr>
        <w:t>наличие насосов - повысителей, их состояние;</w:t>
      </w:r>
    </w:p>
    <w:p w14:paraId="4C000000">
      <w:pPr>
        <w:pStyle w:val="Style_2"/>
        <w:keepNext w:val="0"/>
        <w:keepLines w:val="0"/>
        <w:widowControl w:val="0"/>
        <w:numPr>
          <w:ilvl w:val="0"/>
          <w:numId w:val="14"/>
        </w:numPr>
        <w:tabs>
          <w:tab w:leader="none" w:pos="211" w:val="left"/>
        </w:tabs>
        <w:spacing w:after="0" w:before="0" w:line="240" w:lineRule="auto"/>
        <w:ind w:right="0"/>
        <w:jc w:val="both"/>
      </w:pPr>
      <w:r>
        <w:rPr>
          <w:color w:val="000000"/>
          <w:spacing w:val="0"/>
        </w:rPr>
        <w:t>выполнение планов замены пожарных гидрантов (пожарных кранов), строительства новых водоемов, пирсов, колодцев.</w:t>
      </w:r>
    </w:p>
    <w:p w14:paraId="4D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181" w:val="left"/>
        </w:tabs>
        <w:spacing w:after="240" w:before="0" w:line="240" w:lineRule="auto"/>
        <w:ind w:firstLine="660" w:left="0" w:right="0"/>
        <w:jc w:val="both"/>
      </w:pPr>
      <w:r>
        <w:rPr>
          <w:color w:val="000000"/>
          <w:spacing w:val="0"/>
        </w:rPr>
        <w:t>По результатам инвентаризации составляется акт инвентаризации и ведомость учета состояния водоисточников.</w:t>
      </w:r>
    </w:p>
    <w:p w14:paraId="4E000000">
      <w:pPr>
        <w:pStyle w:val="Style_3"/>
        <w:keepNext w:val="1"/>
        <w:keepLines w:val="1"/>
        <w:widowControl w:val="0"/>
        <w:tabs>
          <w:tab w:leader="none" w:pos="983" w:val="left"/>
        </w:tabs>
        <w:spacing w:after="0" w:before="0" w:line="240" w:lineRule="auto"/>
        <w:ind w:firstLine="660" w:left="0" w:right="0"/>
        <w:jc w:val="both"/>
      </w:pPr>
      <w:bookmarkStart w:id="4" w:name="bookmark8"/>
      <w:r>
        <w:rPr>
          <w:color w:val="000000"/>
          <w:spacing w:val="0"/>
        </w:rPr>
        <w:t xml:space="preserve">5. Ремонт </w:t>
      </w:r>
      <w:r>
        <w:rPr>
          <w:i w:val="1"/>
          <w:color w:val="000000"/>
          <w:spacing w:val="0"/>
        </w:rPr>
        <w:t>и</w:t>
      </w:r>
      <w:r>
        <w:rPr>
          <w:color w:val="000000"/>
          <w:spacing w:val="0"/>
        </w:rPr>
        <w:t xml:space="preserve"> реконструкция противопожарного водоснабжения.</w:t>
      </w:r>
      <w:bookmarkEnd w:id="4"/>
    </w:p>
    <w:p w14:paraId="4F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312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14:paraId="50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312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14:paraId="51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312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Технические характеристики противопожарного водопровода после реконструкции не должны быть ниже предусмотренных ранее.</w:t>
      </w:r>
    </w:p>
    <w:p w14:paraId="52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312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Администрацию городского поселения «Дедовичи»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14:paraId="53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227" w:val="left"/>
        </w:tabs>
        <w:spacing w:after="240" w:before="0" w:line="240" w:lineRule="auto"/>
        <w:ind w:firstLine="660" w:left="0" w:right="0"/>
        <w:jc w:val="both"/>
      </w:pPr>
      <w:r>
        <w:rPr>
          <w:color w:val="000000"/>
          <w:spacing w:val="0"/>
        </w:rPr>
        <w:t>После реконструкции водопровода производится его приёмка комиссией и испытание на водоотдачу.</w:t>
      </w:r>
    </w:p>
    <w:p w14:paraId="54000000">
      <w:pPr>
        <w:pStyle w:val="Style_3"/>
        <w:keepNext w:val="1"/>
        <w:keepLines w:val="1"/>
        <w:widowControl w:val="0"/>
        <w:tabs>
          <w:tab w:leader="none" w:pos="1034" w:val="left"/>
        </w:tabs>
        <w:spacing w:after="0" w:before="0" w:line="240" w:lineRule="auto"/>
        <w:ind w:firstLine="660" w:left="0" w:right="0"/>
        <w:jc w:val="both"/>
      </w:pPr>
      <w:bookmarkStart w:id="5" w:name="bookmark10"/>
      <w:r>
        <w:rPr>
          <w:color w:val="000000"/>
          <w:spacing w:val="0"/>
        </w:rPr>
        <w:t>6. Особенности эксплуатации противопожарного водоснабжения в зимних условиях.</w:t>
      </w:r>
      <w:bookmarkEnd w:id="5"/>
    </w:p>
    <w:p w14:paraId="55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223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Ежегодно в октябре-ноябре производится подготовка противопожарного водоснабжения к работе в зимних условиях, для чего необходимо:</w:t>
      </w:r>
    </w:p>
    <w:p w14:paraId="56000000">
      <w:pPr>
        <w:pStyle w:val="Style_2"/>
        <w:keepNext w:val="0"/>
        <w:keepLines w:val="0"/>
        <w:widowControl w:val="0"/>
        <w:numPr>
          <w:ilvl w:val="0"/>
          <w:numId w:val="15"/>
        </w:numPr>
        <w:tabs>
          <w:tab w:leader="none" w:pos="250" w:val="left"/>
        </w:tabs>
        <w:spacing w:after="0" w:before="0" w:line="240" w:lineRule="auto"/>
        <w:ind w:right="0"/>
        <w:jc w:val="both"/>
      </w:pPr>
      <w:r>
        <w:rPr>
          <w:color w:val="000000"/>
          <w:spacing w:val="0"/>
        </w:rPr>
        <w:t>произвести откачку воды из колодцев;</w:t>
      </w:r>
    </w:p>
    <w:p w14:paraId="57000000">
      <w:pPr>
        <w:pStyle w:val="Style_2"/>
        <w:keepNext w:val="0"/>
        <w:keepLines w:val="0"/>
        <w:widowControl w:val="0"/>
        <w:numPr>
          <w:ilvl w:val="0"/>
          <w:numId w:val="16"/>
        </w:numPr>
        <w:tabs>
          <w:tab w:leader="none" w:pos="250" w:val="left"/>
        </w:tabs>
        <w:spacing w:after="0" w:before="0" w:line="240" w:lineRule="auto"/>
        <w:ind w:right="0"/>
        <w:jc w:val="both"/>
      </w:pPr>
      <w:r>
        <w:rPr>
          <w:color w:val="000000"/>
          <w:spacing w:val="0"/>
        </w:rPr>
        <w:t>проверить уровень воды в водоёмах, исправность теплоизоляции и запорной арматуры;</w:t>
      </w:r>
    </w:p>
    <w:p w14:paraId="58000000">
      <w:pPr>
        <w:pStyle w:val="Style_2"/>
        <w:keepNext w:val="0"/>
        <w:keepLines w:val="0"/>
        <w:widowControl w:val="0"/>
        <w:numPr>
          <w:ilvl w:val="0"/>
          <w:numId w:val="17"/>
        </w:numPr>
        <w:tabs>
          <w:tab w:leader="none" w:pos="246" w:val="left"/>
        </w:tabs>
        <w:spacing w:after="0" w:before="0" w:line="240" w:lineRule="auto"/>
        <w:ind w:right="0"/>
        <w:jc w:val="both"/>
      </w:pPr>
      <w:r>
        <w:rPr>
          <w:color w:val="000000"/>
          <w:spacing w:val="0"/>
        </w:rPr>
        <w:t>произвести очистку от снега и льда подъездов к пожарным водоисточникам;</w:t>
      </w:r>
    </w:p>
    <w:p w14:paraId="59000000">
      <w:pPr>
        <w:pStyle w:val="Style_2"/>
        <w:keepNext w:val="0"/>
        <w:keepLines w:val="0"/>
        <w:widowControl w:val="0"/>
        <w:numPr>
          <w:ilvl w:val="0"/>
          <w:numId w:val="18"/>
        </w:numPr>
        <w:tabs>
          <w:tab w:leader="none" w:pos="250" w:val="left"/>
        </w:tabs>
        <w:spacing w:after="0" w:before="0" w:line="240" w:lineRule="auto"/>
        <w:ind w:right="0"/>
        <w:jc w:val="both"/>
      </w:pPr>
      <w:r>
        <w:rPr>
          <w:color w:val="000000"/>
          <w:spacing w:val="0"/>
        </w:rPr>
        <w:t>осуществить смазку стояков пожарных гидрантов.</w:t>
      </w:r>
    </w:p>
    <w:p w14:paraId="5A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220" w:val="left"/>
        </w:tabs>
        <w:spacing w:after="120" w:before="0" w:line="240" w:lineRule="auto"/>
        <w:ind w:firstLine="660" w:left="0" w:right="0"/>
        <w:jc w:val="both"/>
      </w:pPr>
      <w:r>
        <w:rPr>
          <w:color w:val="000000"/>
          <w:spacing w:val="0"/>
        </w:rPr>
        <w:t>В случае замерзания стояков пожарных гидрантов необходимо принимать меры к их отогреванию и приведению в рабочее состояние</w:t>
      </w:r>
    </w:p>
    <w:p w14:paraId="5B000000">
      <w:pPr>
        <w:sectPr>
          <w:headerReference r:id="rId5" w:type="default"/>
          <w:footerReference r:id="rId6" w:type="default"/>
          <w:type w:val="continuous"/>
          <w:pgSz w:h="15840" w:orient="portrait" w:w="12240"/>
          <w:pgMar w:bottom="1134" w:footer="1149" w:gutter="0" w:header="0" w:left="2103" w:right="1208" w:top="1049"/>
        </w:sectPr>
      </w:pPr>
    </w:p>
    <w:p w14:paraId="5C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14:paraId="5D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постановлению Администрации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городского</w:t>
      </w:r>
      <w:r>
        <w:br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поселения </w:t>
      </w: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 31.05.2024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102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5E000000">
      <w:pPr>
        <w:pStyle w:val="Style_2"/>
        <w:keepNext w:val="0"/>
        <w:keepLines w:val="0"/>
        <w:widowControl w:val="0"/>
        <w:spacing w:after="0" w:before="0" w:line="240" w:lineRule="auto"/>
        <w:ind w:firstLine="0" w:left="0" w:right="0"/>
        <w:jc w:val="center"/>
      </w:pPr>
    </w:p>
    <w:p w14:paraId="5F000000">
      <w:pPr>
        <w:pStyle w:val="Style_2"/>
        <w:keepNext w:val="0"/>
        <w:keepLines w:val="0"/>
        <w:widowControl w:val="0"/>
        <w:spacing w:after="0" w:before="0" w:line="240" w:lineRule="auto"/>
        <w:ind w:firstLine="0" w:left="0" w:right="0"/>
        <w:jc w:val="center"/>
      </w:pPr>
      <w:r>
        <w:rPr>
          <w:b w:val="1"/>
          <w:color w:val="000000"/>
          <w:spacing w:val="0"/>
        </w:rPr>
        <w:t>ПЕРЕЧЕНЬ</w:t>
      </w:r>
    </w:p>
    <w:p w14:paraId="60000000">
      <w:pPr>
        <w:pStyle w:val="Style_2"/>
        <w:keepNext w:val="0"/>
        <w:keepLines w:val="0"/>
        <w:widowControl w:val="0"/>
        <w:spacing w:after="280" w:before="0" w:line="240" w:lineRule="auto"/>
        <w:ind w:firstLine="0" w:left="0" w:right="0"/>
        <w:jc w:val="center"/>
      </w:pPr>
      <w:r>
        <w:rPr>
          <w:b w:val="1"/>
          <w:color w:val="000000"/>
          <w:spacing w:val="0"/>
        </w:rPr>
        <w:t>пожарных гидрантов и иных наружных источников противопожарного</w:t>
      </w:r>
      <w:r>
        <w:rPr>
          <w:b w:val="1"/>
          <w:color w:val="000000"/>
          <w:spacing w:val="0"/>
        </w:rPr>
        <w:br/>
      </w:r>
      <w:r>
        <w:rPr>
          <w:b w:val="1"/>
          <w:color w:val="000000"/>
          <w:spacing w:val="0"/>
        </w:rPr>
        <w:t>водоснабжения, находящихся на территории муниципального</w:t>
      </w:r>
      <w:r>
        <w:rPr>
          <w:b w:val="1"/>
          <w:color w:val="000000"/>
          <w:spacing w:val="0"/>
        </w:rPr>
        <w:br/>
      </w:r>
      <w:r>
        <w:rPr>
          <w:b w:val="1"/>
          <w:color w:val="000000"/>
          <w:spacing w:val="0"/>
        </w:rPr>
        <w:t>образования «Дедовичи»</w:t>
      </w:r>
    </w:p>
    <w:tbl>
      <w:tblPr>
        <w:tblLayout w:type="fixed"/>
      </w:tblPr>
      <w:tblGrid>
        <w:gridCol w:w="919"/>
        <w:gridCol w:w="3631"/>
        <w:gridCol w:w="1305"/>
        <w:gridCol w:w="3015"/>
      </w:tblGrid>
      <w:tr>
        <w:trPr>
          <w:trHeight w:hRule="exact" w:val="315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61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b w:val="1"/>
                <w:color w:val="000000"/>
                <w:spacing w:val="0"/>
              </w:rPr>
              <w:t>№ п/п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62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rPr>
                <w:b w:val="1"/>
                <w:color w:val="000000"/>
                <w:spacing w:val="0"/>
              </w:rPr>
              <w:t>По какому адресу находится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bottom"/>
          </w:tcPr>
          <w:p w14:paraId="63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  <w:color w:val="000000"/>
                <w:spacing w:val="0"/>
              </w:rPr>
            </w:pPr>
            <w:r>
              <w:rPr>
                <w:b w:val="1"/>
                <w:color w:val="000000"/>
                <w:spacing w:val="0"/>
              </w:rPr>
              <w:t>Инв.№</w:t>
            </w:r>
          </w:p>
        </w:tc>
        <w:tc>
          <w:tcPr>
            <w:tcW w:type="dxa" w:w="301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bottom"/>
          </w:tcPr>
          <w:p w14:paraId="64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b w:val="1"/>
                <w:color w:val="000000"/>
                <w:spacing w:val="0"/>
              </w:rPr>
              <w:t>Примечание</w:t>
            </w:r>
          </w:p>
        </w:tc>
      </w:tr>
      <w:tr>
        <w:trPr>
          <w:trHeight w:hRule="exact" w:val="260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65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left"/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6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ул.Весенняя, д.26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6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301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68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69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left"/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6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ул.Весення, д.15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6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6C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6D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left"/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6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ул.Весенняя, д7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6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70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04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71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left"/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7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ул.Вологодская, д.2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7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74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75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left"/>
            </w:pPr>
            <w:r>
              <w:rPr>
                <w:color w:val="000000"/>
                <w:spacing w:val="0"/>
              </w:rPr>
              <w:t>5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7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ул.Вологодская, д.6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7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78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79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left"/>
            </w:pPr>
            <w:r>
              <w:rPr>
                <w:color w:val="000000"/>
                <w:spacing w:val="0"/>
              </w:rPr>
              <w:t>6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7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ул.Вологодская, д.7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7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7C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7D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left"/>
            </w:pPr>
            <w:r>
              <w:rPr>
                <w:color w:val="000000"/>
                <w:spacing w:val="0"/>
              </w:rPr>
              <w:t>7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7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ул.Восточная, д.3-5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7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80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81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left"/>
            </w:pPr>
            <w:r>
              <w:rPr>
                <w:color w:val="000000"/>
                <w:spacing w:val="0"/>
              </w:rPr>
              <w:t>8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8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ул.Егорова, д.24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8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84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85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left"/>
            </w:pPr>
            <w:r>
              <w:rPr>
                <w:color w:val="000000"/>
                <w:spacing w:val="0"/>
              </w:rPr>
              <w:t>9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8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ул.Егорова, д.16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8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88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89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10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8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ул.Егорова, д.20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8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25А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8C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04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8D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11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8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ул.Егорова, д.12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8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90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91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12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9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ул.Егорова, д.6 (РЦД)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9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94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04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95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13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9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д.32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9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98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99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14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9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д.1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9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9C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8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9D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15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9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д.7 (маг.Аудио, видео)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9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A0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04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A1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16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A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ул.Октябрьская, д.13 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A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A4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04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A5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17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A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д.17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A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A8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A9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18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A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ул.Октябрьская, д.23 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A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AC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04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AD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19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A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д.12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A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B0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8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B1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20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B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д.9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B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B4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8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B5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21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B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д.21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B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B8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297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B9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22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B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д.33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B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BC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BD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23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B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д.39а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B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C0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C1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24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C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д.39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C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C4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04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C5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25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C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д.17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C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C8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04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C9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26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C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д.41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C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CC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CD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27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C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д.40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C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24А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D0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D1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28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D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д.25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D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D4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31"/>
        </w:trPr>
        <w:tc>
          <w:tcPr>
            <w:tcW w:type="dxa" w:w="919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D5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29</w:t>
            </w:r>
          </w:p>
        </w:tc>
        <w:tc>
          <w:tcPr>
            <w:tcW w:type="dxa" w:w="3631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D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д.19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D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D8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</w:tbl>
    <w:p w14:paraId="D9000000">
      <w:pPr>
        <w:sectPr>
          <w:headerReference r:id="rId1" w:type="default"/>
          <w:pgSz w:h="15840" w:orient="portrait" w:w="12240"/>
          <w:pgMar w:bottom="1134" w:footer="1149" w:gutter="0" w:header="0" w:left="2103" w:right="1208" w:top="1049"/>
          <w:pgNumType w:start="2"/>
        </w:sectPr>
      </w:pPr>
    </w:p>
    <w:tbl>
      <w:tblPr>
        <w:tblLayout w:type="fixed"/>
      </w:tblPr>
      <w:tblGrid>
        <w:gridCol w:w="913"/>
        <w:gridCol w:w="3667"/>
        <w:gridCol w:w="1305"/>
        <w:gridCol w:w="3000"/>
      </w:tblGrid>
      <w:tr>
        <w:trPr>
          <w:trHeight w:hRule="exact" w:val="346"/>
        </w:trPr>
        <w:tc>
          <w:tcPr>
            <w:tcW w:type="dxa" w:w="913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DA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</w:pPr>
            <w:r>
              <w:rPr>
                <w:color w:val="000000"/>
                <w:spacing w:val="0"/>
              </w:rPr>
              <w:t>30</w:t>
            </w:r>
          </w:p>
        </w:tc>
        <w:tc>
          <w:tcPr>
            <w:tcW w:type="dxa" w:w="3667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D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д.39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DC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DD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660"/>
        </w:trPr>
        <w:tc>
          <w:tcPr>
            <w:tcW w:type="dxa" w:w="913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DE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</w:pPr>
            <w:r>
              <w:rPr>
                <w:color w:val="000000"/>
                <w:spacing w:val="0"/>
              </w:rPr>
              <w:t>31</w:t>
            </w:r>
          </w:p>
        </w:tc>
        <w:tc>
          <w:tcPr>
            <w:tcW w:type="dxa" w:w="3667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D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(гараж №14, гар.кооп. «Шелонь»)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E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E1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3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E2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</w:pPr>
            <w:r>
              <w:rPr>
                <w:color w:val="000000"/>
                <w:spacing w:val="0"/>
              </w:rPr>
              <w:t>32</w:t>
            </w:r>
          </w:p>
        </w:tc>
        <w:tc>
          <w:tcPr>
            <w:tcW w:type="dxa" w:w="3667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E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ул.Садовая, д.1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E4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E5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3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E6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</w:pPr>
            <w:r>
              <w:rPr>
                <w:color w:val="000000"/>
                <w:spacing w:val="0"/>
              </w:rPr>
              <w:t>33</w:t>
            </w:r>
          </w:p>
        </w:tc>
        <w:tc>
          <w:tcPr>
            <w:tcW w:type="dxa" w:w="3667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E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ул.Садовая, д.19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E8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E9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8"/>
        </w:trPr>
        <w:tc>
          <w:tcPr>
            <w:tcW w:type="dxa" w:w="913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EA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</w:pPr>
            <w:r>
              <w:rPr>
                <w:color w:val="000000"/>
                <w:spacing w:val="0"/>
              </w:rPr>
              <w:t>34</w:t>
            </w:r>
          </w:p>
        </w:tc>
        <w:tc>
          <w:tcPr>
            <w:tcW w:type="dxa" w:w="3667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E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ул.Западный квартал, д.9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EC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31А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ED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3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EE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</w:pPr>
            <w:r>
              <w:rPr>
                <w:color w:val="000000"/>
                <w:spacing w:val="0"/>
              </w:rPr>
              <w:t>35</w:t>
            </w:r>
          </w:p>
        </w:tc>
        <w:tc>
          <w:tcPr>
            <w:tcW w:type="dxa" w:w="3667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E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ул.Западный квартал, д.18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F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F1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3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F2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</w:pPr>
            <w:r>
              <w:rPr>
                <w:color w:val="000000"/>
                <w:spacing w:val="0"/>
              </w:rPr>
              <w:t>36</w:t>
            </w:r>
          </w:p>
        </w:tc>
        <w:tc>
          <w:tcPr>
            <w:tcW w:type="dxa" w:w="3667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F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ул.Уральская, д.12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F4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23А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F5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297"/>
        </w:trPr>
        <w:tc>
          <w:tcPr>
            <w:tcW w:type="dxa" w:w="913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F6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</w:pPr>
            <w:r>
              <w:rPr>
                <w:color w:val="000000"/>
                <w:spacing w:val="0"/>
              </w:rPr>
              <w:t>37</w:t>
            </w:r>
          </w:p>
        </w:tc>
        <w:tc>
          <w:tcPr>
            <w:tcW w:type="dxa" w:w="3667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F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ул.Энергетиков, д.7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F8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F9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3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FA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</w:pPr>
            <w:r>
              <w:rPr>
                <w:color w:val="000000"/>
                <w:spacing w:val="0"/>
              </w:rPr>
              <w:t>38</w:t>
            </w:r>
          </w:p>
        </w:tc>
        <w:tc>
          <w:tcPr>
            <w:tcW w:type="dxa" w:w="3667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F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ул.Энергетиков, д.5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FC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FD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04"/>
        </w:trPr>
        <w:tc>
          <w:tcPr>
            <w:tcW w:type="dxa" w:w="913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FE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</w:pPr>
            <w:r>
              <w:rPr>
                <w:color w:val="000000"/>
                <w:spacing w:val="0"/>
              </w:rPr>
              <w:t>39</w:t>
            </w:r>
          </w:p>
        </w:tc>
        <w:tc>
          <w:tcPr>
            <w:tcW w:type="dxa" w:w="3667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F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ул.Энергетиков, д.3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00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01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3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02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</w:pPr>
            <w:r>
              <w:rPr>
                <w:color w:val="000000"/>
                <w:spacing w:val="0"/>
              </w:rPr>
              <w:t>40</w:t>
            </w:r>
          </w:p>
        </w:tc>
        <w:tc>
          <w:tcPr>
            <w:tcW w:type="dxa" w:w="3667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0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ул.Энергетиков, д.1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04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05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8"/>
        </w:trPr>
        <w:tc>
          <w:tcPr>
            <w:tcW w:type="dxa" w:w="913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06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</w:pPr>
            <w:r>
              <w:rPr>
                <w:color w:val="000000"/>
                <w:spacing w:val="0"/>
              </w:rPr>
              <w:t>41</w:t>
            </w:r>
          </w:p>
        </w:tc>
        <w:tc>
          <w:tcPr>
            <w:tcW w:type="dxa" w:w="3667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0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ул.Энергетиков, д.8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08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09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3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0A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</w:pPr>
            <w:r>
              <w:rPr>
                <w:color w:val="000000"/>
                <w:spacing w:val="0"/>
              </w:rPr>
              <w:t>42</w:t>
            </w:r>
          </w:p>
        </w:tc>
        <w:tc>
          <w:tcPr>
            <w:tcW w:type="dxa" w:w="3667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0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ул.Энергетиков, д.6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0C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0D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3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0E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</w:pPr>
            <w:r>
              <w:rPr>
                <w:color w:val="000000"/>
                <w:spacing w:val="0"/>
              </w:rPr>
              <w:t>43</w:t>
            </w:r>
          </w:p>
        </w:tc>
        <w:tc>
          <w:tcPr>
            <w:tcW w:type="dxa" w:w="3667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0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ул.Новая, д.2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10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11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12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</w:pPr>
            <w:r>
              <w:rPr>
                <w:color w:val="000000"/>
                <w:spacing w:val="0"/>
              </w:rPr>
              <w:t>44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1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пл.Советов, д.5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14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15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16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45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1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ул.Коммунаров, д.26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18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19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1A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46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1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ул.Юбилейная, д.20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1C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1D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1E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47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1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ул.Бундзена, д.60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20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21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22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48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2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пл.Советов, д.7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24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25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26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49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2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ул.Партизанская, д.7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28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29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2A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50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2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Мелиораторов, д.2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2C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2D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2E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51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2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ул.Интернациональная, д.18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30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31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32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52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3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ул.Бундзена, д.54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34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35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36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53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3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ул.Юрия Иванова, 28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38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39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3A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54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3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ул.Юрия Иванова, д.68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3C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3D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3E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55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3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ул.Песочная, д.22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40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41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29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42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56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4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пл.Советов, д.7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44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45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ПВ,искусственный, закрытый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46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57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4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ул.Школьная, д.14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48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49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ПВ, искусственный, открытый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4A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58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4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ул.Бундзена, д.2а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4C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4D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ПВ, искусственный, открытый</w:t>
            </w:r>
          </w:p>
        </w:tc>
      </w:tr>
      <w:tr>
        <w:trPr>
          <w:trHeight w:hRule="exact" w:val="310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4E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59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4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ул.Л.Голикова, д.2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50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51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ПВ, искусственный, открытый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52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60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5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ул.Энергетиков, д.1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54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55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ПВ, искусственный, открытый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56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61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5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пер.Студенческий, д.1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58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59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ПВ, искусственный, открытый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5A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62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5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пер.Студенческий, д.1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5C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5D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ПВ, искусственный, открытый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5E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63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5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ул.К.Васильева, д.17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60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61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ПВ, искусственный, открытый</w:t>
            </w:r>
          </w:p>
        </w:tc>
      </w:tr>
      <w:tr>
        <w:trPr>
          <w:trHeight w:hRule="exact" w:val="54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62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64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6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перекресток пер.Пружковский и ул.Партизанская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64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65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ПВ, искусственный, открытый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66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65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6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ул.Интернациональная, д.26а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68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69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ПВ,искусственный, закрытый</w:t>
            </w:r>
          </w:p>
          <w:p w14:paraId="6A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6B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66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6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ул.Заводская, д.28а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6D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6E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ПВ,искусственный, закрытый</w:t>
            </w:r>
          </w:p>
          <w:p w14:paraId="6F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70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67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7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ул.Бундзена, д.39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72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73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ПВ, искусственный, открытый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74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68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7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ул.Бундзена (АЗС)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76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77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ПВ,искусственный, закрытый</w:t>
            </w:r>
          </w:p>
          <w:p w14:paraId="78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</w:tbl>
    <w:p w14:paraId="79010000"/>
    <w:sectPr>
      <w:headerReference r:id="rId2" w:type="default"/>
      <w:pgSz w:h="15840" w:orient="portrait" w:w="12240"/>
      <w:pgMar w:bottom="1134" w:footer="1149" w:gutter="0" w:header="0" w:left="2103" w:right="1208" w:top="1049"/>
      <w:pgNumType w:start="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/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widowControl w:val="0"/>
      <w:spacing w:line="1" w:lineRule="exact"/>
      <w:ind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widowControl w:val="0"/>
      <w:spacing w:line="1" w:lineRule="exact"/>
      <w:ind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4340860</wp:posOffset>
              </wp:positionH>
              <wp:positionV relativeFrom="page">
                <wp:posOffset>403225</wp:posOffset>
              </wp:positionV>
              <wp:extent cx="62230" cy="9652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62230" cy="965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000000">
                          <w:pPr>
                            <w:pStyle w:val="Style_1"/>
                            <w:keepNext w:val="0"/>
                            <w:keepLines w:val="0"/>
                            <w:widowControl w:val="0"/>
                            <w:spacing w:after="0" w:before="0" w:line="240" w:lineRule="auto"/>
                            <w:ind w:firstLine="0" w:left="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t>2</w:t>
                          </w:r>
                        </w:p>
                      </w:txbxContent>
                    </wps:txbx>
                    <wps:bodyPr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widowControl w:val="0"/>
      <w:spacing w:line="1" w:lineRule="exact"/>
      <w:ind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4340860</wp:posOffset>
              </wp:positionH>
              <wp:positionV relativeFrom="page">
                <wp:posOffset>403225</wp:posOffset>
              </wp:positionV>
              <wp:extent cx="62230" cy="96520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62230" cy="965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000000">
                          <w:pPr>
                            <w:pStyle w:val="Style_1"/>
                            <w:keepNext w:val="0"/>
                            <w:keepLines w:val="0"/>
                            <w:widowControl w:val="0"/>
                            <w:spacing w:after="0" w:before="0" w:line="240" w:lineRule="auto"/>
                            <w:ind w:firstLine="0" w:left="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t>2</w:t>
                          </w:r>
                        </w:p>
                      </w:txbxContent>
                    </wps:txbx>
                    <wps:bodyPr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widowControl w:val="0"/>
      <w:spacing w:line="1" w:lineRule="exact"/>
      <w:ind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4319270</wp:posOffset>
              </wp:positionH>
              <wp:positionV relativeFrom="page">
                <wp:posOffset>443230</wp:posOffset>
              </wp:positionV>
              <wp:extent cx="53975" cy="100965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53975" cy="100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000000">
                          <w:pPr>
                            <w:pStyle w:val="Style_1"/>
                            <w:keepNext w:val="0"/>
                            <w:keepLines w:val="0"/>
                            <w:widowControl w:val="0"/>
                            <w:spacing w:after="0" w:before="0" w:line="240" w:lineRule="auto"/>
                            <w:ind w:firstLine="0" w:left="0" w:right="0"/>
                            <w:jc w:val="left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widowControl w:val="0"/>
      <w:spacing w:line="1" w:lineRule="exact"/>
      <w:ind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lvlText w:val="%1.%2.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</w:abstractNum>
  <w:abstractNum w:abstractNumId="1">
    <w:lvl w:ilvl="0">
      <w:start w:val="1"/>
      <w:numFmt w:val="bullet"/>
      <w:lvlText w:val="-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</w:abstractNum>
  <w:abstractNum w:abstractNumId="2">
    <w:lvl w:ilvl="0">
      <w:start w:val="1"/>
      <w:numFmt w:val="bullet"/>
      <w:lvlText w:val="-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Microsoft Sans Serif" w:hAnsi="Microsoft Sans Serif"/>
        <w:color w:val="000000"/>
        <w:spacing w:val="0"/>
        <w:sz w:val="24"/>
      </w:rPr>
    </w:rPrDefault>
    <w:pPrDefault>
      <w:pPr>
        <w:keepNext w:val="0"/>
        <w:keepLines w:val="0"/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keepNext w:val="0"/>
      <w:keepLines w:val="0"/>
      <w:widowControl w:val="0"/>
      <w:spacing w:after="0" w:before="0" w:line="240" w:lineRule="auto"/>
      <w:ind w:firstLine="0" w:left="0" w:right="0"/>
      <w:jc w:val="left"/>
    </w:pPr>
    <w:rPr>
      <w:rFonts w:ascii="Microsoft Sans Serif" w:hAnsi="Microsoft Sans Serif"/>
      <w:color w:val="000000"/>
      <w:spacing w:val="0"/>
      <w:sz w:val="24"/>
    </w:rPr>
  </w:style>
  <w:style w:default="1" w:styleId="Style_5_ch" w:type="character">
    <w:name w:val="Normal"/>
    <w:link w:val="Style_5"/>
    <w:rPr>
      <w:rFonts w:ascii="Microsoft Sans Serif" w:hAnsi="Microsoft Sans Serif"/>
      <w:color w:val="000000"/>
      <w:spacing w:val="0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Основной текст (4)"/>
    <w:basedOn w:val="Style_5"/>
    <w:link w:val="Style_10_ch"/>
    <w:pPr>
      <w:widowControl w:val="0"/>
      <w:ind/>
    </w:pPr>
    <w:rPr>
      <w:rFonts w:ascii="Arial" w:hAnsi="Arial"/>
      <w:b w:val="0"/>
      <w:i w:val="0"/>
      <w:smallCaps w:val="0"/>
      <w:strike w:val="0"/>
      <w:sz w:val="20"/>
      <w:u w:val="none"/>
    </w:rPr>
  </w:style>
  <w:style w:styleId="Style_10_ch" w:type="character">
    <w:name w:val="Основной текст (4)"/>
    <w:basedOn w:val="Style_5_ch"/>
    <w:link w:val="Style_10"/>
    <w:rPr>
      <w:rFonts w:ascii="Arial" w:hAnsi="Arial"/>
      <w:b w:val="0"/>
      <w:i w:val="0"/>
      <w:smallCaps w:val="0"/>
      <w:strike w:val="0"/>
      <w:sz w:val="20"/>
      <w:u w:val="none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Основной текст"/>
    <w:basedOn w:val="Style_5"/>
    <w:link w:val="Style_2_ch"/>
    <w:pPr>
      <w:widowControl w:val="0"/>
      <w:ind w:firstLine="400" w:left="0"/>
    </w:pPr>
    <w:rPr>
      <w:rFonts w:ascii="Times New Roman" w:hAnsi="Times New Roman"/>
      <w:b w:val="0"/>
      <w:i w:val="0"/>
      <w:smallCaps w:val="0"/>
      <w:strike w:val="0"/>
      <w:sz w:val="26"/>
      <w:u w:val="none"/>
    </w:rPr>
  </w:style>
  <w:style w:styleId="Style_2_ch" w:type="character">
    <w:name w:val="Основной текст"/>
    <w:basedOn w:val="Style_5_ch"/>
    <w:link w:val="Style_2"/>
    <w:rPr>
      <w:rFonts w:ascii="Times New Roman" w:hAnsi="Times New Roman"/>
      <w:b w:val="0"/>
      <w:i w:val="0"/>
      <w:smallCaps w:val="0"/>
      <w:strike w:val="0"/>
      <w:sz w:val="26"/>
      <w:u w:val="none"/>
    </w:rPr>
  </w:style>
  <w:style w:styleId="Style_12" w:type="paragraph">
    <w:name w:val="Заголовок №1"/>
    <w:basedOn w:val="Style_5"/>
    <w:link w:val="Style_12_ch"/>
    <w:pPr>
      <w:widowControl w:val="0"/>
      <w:spacing w:after="620"/>
      <w:ind/>
      <w:jc w:val="center"/>
      <w:outlineLvl w:val="0"/>
    </w:pPr>
    <w:rPr>
      <w:rFonts w:ascii="Times New Roman" w:hAnsi="Times New Roman"/>
      <w:b w:val="1"/>
      <w:i w:val="0"/>
      <w:smallCaps w:val="0"/>
      <w:strike w:val="0"/>
      <w:sz w:val="44"/>
      <w:u w:val="none"/>
    </w:rPr>
  </w:style>
  <w:style w:styleId="Style_12_ch" w:type="character">
    <w:name w:val="Заголовок №1"/>
    <w:basedOn w:val="Style_5_ch"/>
    <w:link w:val="Style_12"/>
    <w:rPr>
      <w:rFonts w:ascii="Times New Roman" w:hAnsi="Times New Roman"/>
      <w:b w:val="1"/>
      <w:i w:val="0"/>
      <w:smallCaps w:val="0"/>
      <w:strike w:val="0"/>
      <w:sz w:val="44"/>
      <w:u w:val="none"/>
    </w:rPr>
  </w:style>
  <w:style w:styleId="Style_13" w:type="paragraph">
    <w:name w:val="Основной текст (3)"/>
    <w:basedOn w:val="Style_5"/>
    <w:link w:val="Style_13_ch"/>
    <w:pPr>
      <w:widowControl w:val="0"/>
      <w:spacing w:after="460"/>
      <w:ind/>
      <w:jc w:val="center"/>
    </w:pPr>
    <w:rPr>
      <w:rFonts w:ascii="Times New Roman" w:hAnsi="Times New Roman"/>
      <w:b w:val="0"/>
      <w:i w:val="0"/>
      <w:smallCaps w:val="0"/>
      <w:strike w:val="0"/>
      <w:sz w:val="22"/>
      <w:u w:val="none"/>
    </w:rPr>
  </w:style>
  <w:style w:styleId="Style_13_ch" w:type="character">
    <w:name w:val="Основной текст (3)"/>
    <w:basedOn w:val="Style_5_ch"/>
    <w:link w:val="Style_13"/>
    <w:rPr>
      <w:rFonts w:ascii="Times New Roman" w:hAnsi="Times New Roman"/>
      <w:b w:val="0"/>
      <w:i w:val="0"/>
      <w:smallCaps w:val="0"/>
      <w:strike w:val="0"/>
      <w:sz w:val="22"/>
      <w:u w:val="none"/>
    </w:rPr>
  </w:style>
  <w:style w:styleId="Style_14" w:type="paragraph">
    <w:name w:val="Основной текст (2)"/>
    <w:basedOn w:val="Style_5"/>
    <w:link w:val="Style_14_ch"/>
    <w:pPr>
      <w:widowControl w:val="0"/>
      <w:spacing w:after="160"/>
      <w:ind/>
      <w:jc w:val="center"/>
    </w:pPr>
    <w:rPr>
      <w:rFonts w:ascii="Times New Roman" w:hAnsi="Times New Roman"/>
      <w:b w:val="1"/>
      <w:i w:val="0"/>
      <w:smallCaps w:val="0"/>
      <w:strike w:val="0"/>
      <w:sz w:val="34"/>
      <w:u w:val="none"/>
    </w:rPr>
  </w:style>
  <w:style w:styleId="Style_14_ch" w:type="character">
    <w:name w:val="Основной текст (2)"/>
    <w:basedOn w:val="Style_5_ch"/>
    <w:link w:val="Style_14"/>
    <w:rPr>
      <w:rFonts w:ascii="Times New Roman" w:hAnsi="Times New Roman"/>
      <w:b w:val="1"/>
      <w:i w:val="0"/>
      <w:smallCaps w:val="0"/>
      <w:strike w:val="0"/>
      <w:sz w:val="34"/>
      <w:u w:val="none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4" w:type="paragraph">
    <w:name w:val="Другое"/>
    <w:basedOn w:val="Style_5"/>
    <w:link w:val="Style_4_ch"/>
    <w:pPr>
      <w:widowControl w:val="0"/>
      <w:ind w:firstLine="400" w:left="0"/>
    </w:pPr>
    <w:rPr>
      <w:rFonts w:ascii="Times New Roman" w:hAnsi="Times New Roman"/>
      <w:b w:val="0"/>
      <w:i w:val="0"/>
      <w:smallCaps w:val="0"/>
      <w:strike w:val="0"/>
      <w:sz w:val="26"/>
      <w:u w:val="none"/>
    </w:rPr>
  </w:style>
  <w:style w:styleId="Style_4_ch" w:type="character">
    <w:name w:val="Другое"/>
    <w:basedOn w:val="Style_5_ch"/>
    <w:link w:val="Style_4"/>
    <w:rPr>
      <w:rFonts w:ascii="Times New Roman" w:hAnsi="Times New Roman"/>
      <w:b w:val="0"/>
      <w:i w:val="0"/>
      <w:smallCaps w:val="0"/>
      <w:strike w:val="0"/>
      <w:sz w:val="26"/>
      <w:u w:val="none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  <w:rPr>
      <w:rFonts w:ascii="Microsoft Sans Serif" w:hAnsi="Microsoft Sans Serif"/>
      <w:color w:val="000000"/>
      <w:spacing w:val="0"/>
      <w:sz w:val="24"/>
    </w:rPr>
  </w:style>
  <w:style w:styleId="Style_23_ch" w:type="character">
    <w:name w:val="Default Paragraph Font"/>
    <w:link w:val="Style_23"/>
    <w:rPr>
      <w:rFonts w:ascii="Microsoft Sans Serif" w:hAnsi="Microsoft Sans Serif"/>
      <w:color w:val="000000"/>
      <w:spacing w:val="0"/>
      <w:sz w:val="24"/>
    </w:rPr>
  </w:style>
  <w:style w:styleId="Style_3" w:type="paragraph">
    <w:name w:val="Заголовок №2"/>
    <w:basedOn w:val="Style_5"/>
    <w:link w:val="Style_3_ch"/>
    <w:pPr>
      <w:widowControl w:val="0"/>
      <w:ind w:firstLine="670" w:left="0"/>
      <w:outlineLvl w:val="1"/>
    </w:pPr>
    <w:rPr>
      <w:rFonts w:ascii="Times New Roman" w:hAnsi="Times New Roman"/>
      <w:b w:val="1"/>
      <w:i w:val="0"/>
      <w:smallCaps w:val="0"/>
      <w:strike w:val="0"/>
      <w:sz w:val="26"/>
      <w:u w:val="none"/>
    </w:rPr>
  </w:style>
  <w:style w:styleId="Style_3_ch" w:type="character">
    <w:name w:val="Заголовок №2"/>
    <w:basedOn w:val="Style_5_ch"/>
    <w:link w:val="Style_3"/>
    <w:rPr>
      <w:rFonts w:ascii="Times New Roman" w:hAnsi="Times New Roman"/>
      <w:b w:val="1"/>
      <w:i w:val="0"/>
      <w:smallCaps w:val="0"/>
      <w:strike w:val="0"/>
      <w:sz w:val="26"/>
      <w:u w:val="none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1" w:type="paragraph">
    <w:name w:val="Колонтитул (2)"/>
    <w:basedOn w:val="Style_5"/>
    <w:link w:val="Style_1_ch"/>
    <w:pPr>
      <w:widowControl w:val="0"/>
      <w:ind/>
    </w:pPr>
    <w:rPr>
      <w:rFonts w:ascii="Times New Roman" w:hAnsi="Times New Roman"/>
      <w:b w:val="0"/>
      <w:i w:val="0"/>
      <w:smallCaps w:val="0"/>
      <w:strike w:val="0"/>
      <w:sz w:val="20"/>
      <w:u w:val="none"/>
    </w:rPr>
  </w:style>
  <w:style w:styleId="Style_1_ch" w:type="character">
    <w:name w:val="Колонтитул (2)"/>
    <w:basedOn w:val="Style_5_ch"/>
    <w:link w:val="Style_1"/>
    <w:rPr>
      <w:rFonts w:ascii="Times New Roman" w:hAnsi="Times New Roman"/>
      <w:b w:val="0"/>
      <w:i w:val="0"/>
      <w:smallCaps w:val="0"/>
      <w:strike w:val="0"/>
      <w:sz w:val="20"/>
      <w:u w:val="none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14" Target="numbering.xml" Type="http://schemas.openxmlformats.org/officeDocument/2006/relationships/numbering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3" Target="theme/theme1.xml" Type="http://schemas.openxmlformats.org/officeDocument/2006/relationships/theme"/>
  <Relationship Id="rId9" Target="settings.xml" Type="http://schemas.openxmlformats.org/officeDocument/2006/relationships/settings"/>
  <Relationship Id="rId5" Target="header5.xml" Type="http://schemas.openxmlformats.org/officeDocument/2006/relationships/header"/>
  <Relationship Id="rId8" Target="fontTable.xml" Type="http://schemas.openxmlformats.org/officeDocument/2006/relationships/fontTable"/>
  <Relationship Id="rId4" Target="footer4.xml" Type="http://schemas.openxmlformats.org/officeDocument/2006/relationships/footer"/>
  <Relationship Id="rId12" Target="webSettings.xml" Type="http://schemas.openxmlformats.org/officeDocument/2006/relationships/webSetting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2024-05-31T05:52:47Z</dcterms:modified>
</cp:coreProperties>
</file>