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color w:val="2E3CED"/>
          <w:sz w:val="24"/>
        </w:rPr>
      </w:pPr>
      <w:r>
        <w:rPr>
          <w:color w:val="FF0000"/>
          <w:sz w:val="28"/>
        </w:rPr>
        <w:tab/>
      </w:r>
      <w:r>
        <w:rPr>
          <w:rFonts w:ascii="Times New Roman" w:hAnsi="Times New Roman"/>
          <w:color w:val="2E3CED"/>
          <w:sz w:val="24"/>
        </w:rPr>
        <w:t>ВНИМАНИЕ! Настоящий документ изменён.</w:t>
      </w:r>
    </w:p>
    <w:p w14:paraId="02000000">
      <w:pPr>
        <w:spacing w:after="0"/>
        <w:ind/>
        <w:jc w:val="both"/>
        <w:rPr>
          <w:rFonts w:ascii="Times New Roman" w:hAnsi="Times New Roman"/>
          <w:color w:val="216BEC"/>
          <w:sz w:val="24"/>
        </w:rPr>
      </w:pPr>
      <w:r>
        <w:rPr>
          <w:rFonts w:ascii="Times New Roman" w:hAnsi="Times New Roman"/>
          <w:color w:val="2E3CED"/>
          <w:sz w:val="24"/>
        </w:rPr>
        <w:tab/>
      </w:r>
      <w:r>
        <w:rPr>
          <w:rFonts w:ascii="Times New Roman" w:hAnsi="Times New Roman"/>
          <w:color w:val="2E3CED"/>
          <w:sz w:val="24"/>
        </w:rPr>
        <w:t xml:space="preserve">См. решения Собрания депутатов городского поселения «Дедовичи»: </w:t>
      </w:r>
    </w:p>
    <w:p w14:paraId="03000000">
      <w:pPr>
        <w:ind/>
        <w:jc w:val="both"/>
        <w:rPr>
          <w:color w:val="2E3CED"/>
        </w:rPr>
      </w:pPr>
      <w:r>
        <w:rPr>
          <w:rFonts w:ascii="Times New Roman" w:hAnsi="Times New Roman"/>
          <w:color w:val="2E3CED"/>
          <w:sz w:val="24"/>
        </w:rPr>
        <w:t>от 05.12.2023 № 177 «</w:t>
      </w:r>
      <w:r>
        <w:rPr>
          <w:rFonts w:ascii="Times New Roman" w:hAnsi="Times New Roman"/>
          <w:b w:val="0"/>
          <w:color w:val="2E3CED"/>
          <w:sz w:val="24"/>
        </w:rPr>
        <w:t xml:space="preserve">О внесении дополнения в </w:t>
      </w:r>
      <w:r>
        <w:rPr>
          <w:rFonts w:ascii="Times New Roman" w:hAnsi="Times New Roman"/>
          <w:b w:val="0"/>
          <w:color w:val="2E3CED"/>
          <w:sz w:val="24"/>
        </w:rPr>
        <w:t>М</w:t>
      </w:r>
      <w:r>
        <w:rPr>
          <w:rFonts w:ascii="Times New Roman" w:hAnsi="Times New Roman"/>
          <w:b w:val="0"/>
          <w:color w:val="2E3CED"/>
          <w:sz w:val="24"/>
        </w:rPr>
        <w:t>етодик</w:t>
      </w:r>
      <w:r>
        <w:rPr>
          <w:rFonts w:ascii="Times New Roman" w:hAnsi="Times New Roman"/>
          <w:b w:val="0"/>
          <w:color w:val="2E3CED"/>
          <w:sz w:val="24"/>
        </w:rPr>
        <w:t>и</w:t>
      </w:r>
      <w:r>
        <w:rPr>
          <w:rFonts w:ascii="Times New Roman" w:hAnsi="Times New Roman"/>
          <w:b w:val="0"/>
          <w:color w:val="2E3CED"/>
          <w:sz w:val="24"/>
        </w:rPr>
        <w:t xml:space="preserve"> расчета </w:t>
      </w:r>
      <w:r>
        <w:rPr>
          <w:rFonts w:ascii="Times New Roman" w:hAnsi="Times New Roman"/>
          <w:b w:val="0"/>
          <w:color w:val="2E3CED"/>
          <w:sz w:val="24"/>
        </w:rPr>
        <w:t xml:space="preserve">иных </w:t>
      </w:r>
      <w:r>
        <w:rPr>
          <w:rFonts w:ascii="Times New Roman" w:hAnsi="Times New Roman"/>
          <w:b w:val="0"/>
          <w:color w:val="2E3CED"/>
          <w:sz w:val="24"/>
        </w:rPr>
        <w:t>межбюджетных</w:t>
      </w:r>
      <w:r>
        <w:rPr>
          <w:rFonts w:ascii="Times New Roman" w:hAnsi="Times New Roman"/>
          <w:b w:val="0"/>
          <w:color w:val="2E3CED"/>
          <w:sz w:val="24"/>
        </w:rPr>
        <w:t xml:space="preserve"> </w:t>
      </w:r>
      <w:r>
        <w:rPr>
          <w:rFonts w:ascii="Times New Roman" w:hAnsi="Times New Roman"/>
          <w:b w:val="0"/>
          <w:color w:val="2E3CED"/>
          <w:sz w:val="24"/>
        </w:rPr>
        <w:t>трансфертов</w:t>
      </w:r>
      <w:r>
        <w:rPr>
          <w:rFonts w:ascii="Times New Roman" w:hAnsi="Times New Roman"/>
          <w:b w:val="0"/>
          <w:color w:val="2E3CED"/>
          <w:sz w:val="24"/>
        </w:rPr>
        <w:t xml:space="preserve">, передаваемых </w:t>
      </w:r>
      <w:r>
        <w:rPr>
          <w:rFonts w:ascii="Times New Roman" w:hAnsi="Times New Roman"/>
          <w:b w:val="0"/>
          <w:color w:val="2E3CED"/>
          <w:sz w:val="24"/>
        </w:rPr>
        <w:t xml:space="preserve"> </w:t>
      </w:r>
      <w:r>
        <w:rPr>
          <w:rFonts w:ascii="Times New Roman" w:hAnsi="Times New Roman"/>
          <w:b w:val="0"/>
          <w:color w:val="2E3CED"/>
          <w:sz w:val="24"/>
        </w:rPr>
        <w:t xml:space="preserve">из бюджета муниципального образования </w:t>
      </w:r>
      <w:r>
        <w:rPr>
          <w:rFonts w:ascii="Times New Roman" w:hAnsi="Times New Roman"/>
          <w:b w:val="0"/>
          <w:color w:val="2E3CED"/>
          <w:sz w:val="24"/>
        </w:rPr>
        <w:t>«</w:t>
      </w:r>
      <w:r>
        <w:rPr>
          <w:rFonts w:ascii="Times New Roman" w:hAnsi="Times New Roman"/>
          <w:b w:val="0"/>
          <w:color w:val="2E3CED"/>
          <w:sz w:val="24"/>
        </w:rPr>
        <w:t>Дедовичи</w:t>
      </w:r>
      <w:r>
        <w:rPr>
          <w:rFonts w:ascii="Times New Roman" w:hAnsi="Times New Roman"/>
          <w:b w:val="0"/>
          <w:color w:val="2E3CED"/>
          <w:sz w:val="24"/>
        </w:rPr>
        <w:t xml:space="preserve">» бюджету муниципального </w:t>
      </w:r>
      <w:r>
        <w:rPr>
          <w:rFonts w:ascii="Times New Roman" w:hAnsi="Times New Roman"/>
          <w:b w:val="0"/>
          <w:color w:val="2E3CED"/>
          <w:sz w:val="24"/>
        </w:rPr>
        <w:t>образования «Дедовичский район»».</w:t>
      </w:r>
    </w:p>
    <w:p w14:paraId="04000000">
      <w:pPr>
        <w:ind/>
        <w:jc w:val="both"/>
        <w:rPr>
          <w:rFonts w:ascii="Times New Roman" w:hAnsi="Times New Roman"/>
          <w:color w:val="216BEC"/>
          <w:sz w:val="26"/>
        </w:rPr>
      </w:pPr>
      <w:r>
        <w:rPr>
          <w:sz w:val="28"/>
        </w:rPr>
        <w:t>=========================================================</w:t>
      </w:r>
    </w:p>
    <w:p w14:paraId="05000000">
      <w:pPr>
        <w:ind/>
        <w:jc w:val="left"/>
      </w:pPr>
    </w:p>
    <w:p w14:paraId="06000000">
      <w:pPr>
        <w:ind/>
        <w:jc w:val="right"/>
      </w:pPr>
      <w:r>
        <w:t xml:space="preserve">                </w:t>
      </w:r>
    </w:p>
    <w:p w14:paraId="07000000">
      <w:pPr>
        <w:ind/>
        <w:jc w:val="center"/>
      </w:pPr>
      <w:r>
        <w:t>ПСКОВСКАЯ ОБЛАСТЬ</w:t>
      </w:r>
    </w:p>
    <w:p w14:paraId="08000000">
      <w:pPr>
        <w:ind/>
        <w:jc w:val="center"/>
      </w:pPr>
      <w:r>
        <w:t>МУНИЦИПАЛЬНОЕ ОБРАЗОВАНИЕ «ДЕДОВИЧИ»</w:t>
      </w:r>
    </w:p>
    <w:p w14:paraId="09000000">
      <w:pPr>
        <w:ind/>
        <w:jc w:val="center"/>
      </w:pPr>
      <w:r>
        <w:t>СОБРАНИЕ ДЕПУТАТОВ ГОРОДСКОГО ПОСЕЛЕНИЯ «ДЕДОВИЧИ»</w:t>
      </w:r>
    </w:p>
    <w:p w14:paraId="0A000000">
      <w:pPr>
        <w:ind/>
        <w:jc w:val="center"/>
      </w:pPr>
    </w:p>
    <w:p w14:paraId="0B000000">
      <w:pPr>
        <w:ind/>
        <w:jc w:val="center"/>
      </w:pPr>
      <w:r>
        <w:t>Р Е Ш Е Н И Е</w:t>
      </w:r>
    </w:p>
    <w:p w14:paraId="0C000000"/>
    <w:p w14:paraId="0D000000">
      <w:r>
        <w:t xml:space="preserve">от  </w:t>
      </w:r>
      <w:r>
        <w:t>28.12.2022</w:t>
      </w:r>
      <w:r>
        <w:t xml:space="preserve">  №  </w:t>
      </w:r>
      <w:r>
        <w:t>117</w:t>
      </w:r>
      <w:r>
        <w:t xml:space="preserve">                                  </w:t>
      </w:r>
    </w:p>
    <w:p w14:paraId="0E000000">
      <w:pPr>
        <w:pStyle w:val="Style_1"/>
        <w:widowControl w:val="1"/>
        <w:ind/>
        <w:rPr>
          <w:b w:val="0"/>
        </w:rPr>
      </w:pPr>
      <w:r>
        <w:rPr>
          <w:b w:val="0"/>
        </w:rPr>
        <w:t xml:space="preserve">(принято на </w:t>
      </w:r>
      <w:r>
        <w:rPr>
          <w:b w:val="0"/>
        </w:rPr>
        <w:t>16 очередном</w:t>
      </w:r>
      <w:r>
        <w:rPr>
          <w:b w:val="0"/>
        </w:rPr>
        <w:t xml:space="preserve">  заседании</w:t>
      </w:r>
    </w:p>
    <w:p w14:paraId="0F000000">
      <w:pPr>
        <w:pStyle w:val="Style_1"/>
        <w:widowControl w:val="1"/>
        <w:ind/>
        <w:rPr>
          <w:b w:val="0"/>
        </w:rPr>
      </w:pPr>
      <w:r>
        <w:rPr>
          <w:b w:val="0"/>
        </w:rPr>
        <w:t xml:space="preserve">Собрания депутатов городского </w:t>
      </w:r>
    </w:p>
    <w:p w14:paraId="10000000">
      <w:pPr>
        <w:pStyle w:val="Style_1"/>
        <w:widowControl w:val="1"/>
        <w:ind/>
        <w:rPr>
          <w:b w:val="0"/>
        </w:rPr>
      </w:pPr>
      <w:r>
        <w:rPr>
          <w:b w:val="0"/>
        </w:rPr>
        <w:t>поселения «Дедовичи»  четвертого  созыва)</w:t>
      </w:r>
    </w:p>
    <w:p w14:paraId="11000000">
      <w:pPr>
        <w:pStyle w:val="Style_1"/>
        <w:widowControl w:val="1"/>
        <w:ind/>
        <w:rPr>
          <w:b w:val="0"/>
        </w:rPr>
      </w:pPr>
      <w:r>
        <w:rPr>
          <w:b w:val="0"/>
        </w:rPr>
        <w:t>рп. Дедовичи</w:t>
      </w:r>
    </w:p>
    <w:p w14:paraId="12000000">
      <w:pPr>
        <w:ind/>
        <w:jc w:val="right"/>
      </w:pPr>
      <w:r>
        <w:t xml:space="preserve">                                                               </w:t>
      </w:r>
    </w:p>
    <w:p w14:paraId="13000000"/>
    <w:p w14:paraId="14000000">
      <w:pPr>
        <w:pStyle w:val="Style_2"/>
        <w:keepNext w:val="1"/>
        <w:keepLines w:val="1"/>
        <w:spacing w:after="0" w:before="0" w:line="240" w:lineRule="auto"/>
        <w:ind w:firstLine="0" w:left="160"/>
        <w:jc w:val="both"/>
        <w:rPr>
          <w:rStyle w:val="Style_2_ch"/>
          <w:rFonts w:ascii="Times New Roman" w:hAnsi="Times New Roman"/>
          <w:b w:val="0"/>
          <w:color w:val="000000"/>
          <w:sz w:val="24"/>
        </w:rPr>
      </w:pPr>
      <w:r>
        <w:rPr>
          <w:rStyle w:val="Style_2_ch"/>
          <w:rFonts w:ascii="Times New Roman" w:hAnsi="Times New Roman"/>
          <w:b w:val="0"/>
          <w:color w:val="000000"/>
          <w:sz w:val="24"/>
        </w:rPr>
        <w:t>Об утверждении</w:t>
      </w:r>
      <w:r>
        <w:rPr>
          <w:rStyle w:val="Style_2_ch"/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  <w:sz w:val="24"/>
        </w:rPr>
        <w:t>методик</w:t>
      </w:r>
      <w:r>
        <w:rPr>
          <w:rStyle w:val="Style_2_ch"/>
          <w:rFonts w:ascii="Times New Roman" w:hAnsi="Times New Roman"/>
          <w:b w:val="0"/>
          <w:color w:val="000000"/>
          <w:sz w:val="24"/>
        </w:rPr>
        <w:t xml:space="preserve"> расчета </w:t>
      </w:r>
      <w:r>
        <w:rPr>
          <w:rStyle w:val="Style_2_ch"/>
          <w:rFonts w:ascii="Times New Roman" w:hAnsi="Times New Roman"/>
          <w:b w:val="0"/>
          <w:color w:val="000000"/>
          <w:sz w:val="24"/>
        </w:rPr>
        <w:t>иных</w:t>
      </w:r>
    </w:p>
    <w:p w14:paraId="15000000">
      <w:pPr>
        <w:pStyle w:val="Style_2"/>
        <w:keepNext w:val="1"/>
        <w:keepLines w:val="1"/>
        <w:spacing w:after="0" w:before="0" w:line="240" w:lineRule="auto"/>
        <w:ind w:firstLine="0" w:left="160"/>
        <w:jc w:val="both"/>
        <w:rPr>
          <w:rStyle w:val="Style_3_ch"/>
          <w:rFonts w:ascii="Times New Roman" w:hAnsi="Times New Roman"/>
          <w:b w:val="0"/>
          <w:color w:val="000000"/>
          <w:sz w:val="24"/>
        </w:rPr>
      </w:pPr>
      <w:r>
        <w:rPr>
          <w:rStyle w:val="Style_3_ch"/>
          <w:rFonts w:ascii="Times New Roman" w:hAnsi="Times New Roman"/>
          <w:b w:val="0"/>
          <w:color w:val="000000"/>
          <w:sz w:val="24"/>
        </w:rPr>
        <w:t>межбюджетных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>трансфертов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 xml:space="preserve">, передаваемых 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 xml:space="preserve"> </w:t>
      </w:r>
    </w:p>
    <w:p w14:paraId="16000000">
      <w:pPr>
        <w:pStyle w:val="Style_2"/>
        <w:keepNext w:val="1"/>
        <w:keepLines w:val="1"/>
        <w:spacing w:after="0" w:before="0" w:line="240" w:lineRule="auto"/>
        <w:ind w:firstLine="0" w:left="160"/>
        <w:jc w:val="both"/>
        <w:rPr>
          <w:rStyle w:val="Style_3_ch"/>
          <w:rFonts w:ascii="Times New Roman" w:hAnsi="Times New Roman"/>
          <w:b w:val="0"/>
          <w:color w:val="000000"/>
          <w:sz w:val="24"/>
        </w:rPr>
      </w:pPr>
      <w:r>
        <w:rPr>
          <w:rStyle w:val="Style_3_ch"/>
          <w:rFonts w:ascii="Times New Roman" w:hAnsi="Times New Roman"/>
          <w:b w:val="0"/>
          <w:color w:val="000000"/>
          <w:sz w:val="24"/>
        </w:rPr>
        <w:t xml:space="preserve">из бюджета муниципального образования </w:t>
      </w:r>
    </w:p>
    <w:p w14:paraId="17000000">
      <w:pPr>
        <w:pStyle w:val="Style_2"/>
        <w:keepNext w:val="1"/>
        <w:keepLines w:val="1"/>
        <w:spacing w:after="0" w:before="0" w:line="240" w:lineRule="auto"/>
        <w:ind w:firstLine="0" w:left="160"/>
        <w:jc w:val="both"/>
        <w:rPr>
          <w:rStyle w:val="Style_3_ch"/>
          <w:rFonts w:ascii="Times New Roman" w:hAnsi="Times New Roman"/>
          <w:b w:val="0"/>
          <w:color w:val="000000"/>
          <w:sz w:val="24"/>
        </w:rPr>
      </w:pPr>
      <w:r>
        <w:rPr>
          <w:rStyle w:val="Style_3_ch"/>
          <w:rFonts w:ascii="Times New Roman" w:hAnsi="Times New Roman"/>
          <w:b w:val="0"/>
          <w:color w:val="000000"/>
          <w:sz w:val="24"/>
        </w:rPr>
        <w:t>«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>Дедовичи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 xml:space="preserve">» бюджету муниципального </w:t>
      </w:r>
    </w:p>
    <w:p w14:paraId="18000000">
      <w:pPr>
        <w:pStyle w:val="Style_2"/>
        <w:keepNext w:val="1"/>
        <w:keepLines w:val="1"/>
        <w:spacing w:after="0" w:before="0" w:line="240" w:lineRule="auto"/>
        <w:ind w:firstLine="0" w:left="160"/>
        <w:jc w:val="both"/>
        <w:rPr>
          <w:rStyle w:val="Style_3_ch"/>
          <w:rFonts w:ascii="Times New Roman" w:hAnsi="Times New Roman"/>
          <w:b w:val="0"/>
          <w:color w:val="000000"/>
          <w:sz w:val="24"/>
        </w:rPr>
      </w:pPr>
      <w:r>
        <w:rPr>
          <w:rStyle w:val="Style_3_ch"/>
          <w:rFonts w:ascii="Times New Roman" w:hAnsi="Times New Roman"/>
          <w:b w:val="0"/>
          <w:color w:val="000000"/>
          <w:sz w:val="24"/>
        </w:rPr>
        <w:t>образования «Дедовичский район»</w:t>
      </w:r>
    </w:p>
    <w:p w14:paraId="19000000"/>
    <w:p w14:paraId="1A000000">
      <w:pPr>
        <w:pStyle w:val="Style_1"/>
        <w:ind/>
        <w:jc w:val="center"/>
      </w:pPr>
      <w:r>
        <w:tab/>
      </w:r>
      <w:r>
        <w:t xml:space="preserve"> </w:t>
      </w:r>
    </w:p>
    <w:p w14:paraId="1B000000">
      <w:pPr>
        <w:pStyle w:val="Style_4"/>
        <w:ind/>
        <w:jc w:val="both"/>
      </w:pPr>
    </w:p>
    <w:p w14:paraId="1C000000">
      <w:pPr>
        <w:pStyle w:val="Style_4"/>
        <w:ind w:firstLine="540" w:left="0"/>
        <w:jc w:val="both"/>
      </w:pPr>
      <w:r>
        <w:t>В соответствии с</w:t>
      </w:r>
      <w:r>
        <w:t>о статьей 142.5</w:t>
      </w:r>
      <w:r>
        <w:t xml:space="preserve"> Бюджетного кодекса Российской Федерации </w:t>
      </w:r>
      <w:r>
        <w:t>Собрание депутатов городского поселения «Дедовичи» РЕШИЛО:</w:t>
      </w:r>
    </w:p>
    <w:p w14:paraId="1D000000">
      <w:pPr>
        <w:pStyle w:val="Style_4"/>
        <w:ind w:firstLine="540" w:left="0"/>
        <w:jc w:val="both"/>
        <w:rPr>
          <w:rStyle w:val="Style_3_ch"/>
          <w:rFonts w:ascii="Times New Roman" w:hAnsi="Times New Roman"/>
          <w:b w:val="0"/>
          <w:color w:val="000000"/>
          <w:sz w:val="24"/>
        </w:rPr>
      </w:pPr>
      <w:r>
        <w:t xml:space="preserve">1. </w:t>
      </w:r>
      <w:r>
        <w:t>Утвердить М</w:t>
      </w:r>
      <w:r>
        <w:t>етодик</w:t>
      </w:r>
      <w:r>
        <w:t>и</w:t>
      </w:r>
      <w:r>
        <w:t xml:space="preserve"> </w:t>
      </w:r>
      <w:r>
        <w:t>расч</w:t>
      </w:r>
      <w:r>
        <w:t xml:space="preserve">ета </w:t>
      </w:r>
      <w:r>
        <w:t xml:space="preserve">иных </w:t>
      </w:r>
      <w:r>
        <w:t>межбюджетных трансфертов</w:t>
      </w:r>
      <w:r>
        <w:t>, передаваемых</w:t>
      </w:r>
      <w:r>
        <w:t xml:space="preserve"> из </w:t>
      </w:r>
      <w:r>
        <w:t>бюджета муниципального образования</w:t>
      </w:r>
      <w: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>«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>Дедовичи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>»</w:t>
      </w:r>
      <w:r>
        <w:rPr>
          <w:rStyle w:val="Style_3_ch"/>
          <w:rFonts w:ascii="Times New Roman" w:hAnsi="Times New Roman"/>
          <w:color w:val="000000"/>
          <w:sz w:val="24"/>
        </w:rPr>
        <w:t xml:space="preserve"> </w:t>
      </w:r>
      <w:r>
        <w:t xml:space="preserve">бюджету 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 xml:space="preserve">муниципального образования «Дедовичский район» 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 xml:space="preserve">согласно 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 xml:space="preserve">приложению 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 xml:space="preserve">к настоящему 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>решению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>.</w:t>
      </w:r>
    </w:p>
    <w:p w14:paraId="1E000000">
      <w:pPr>
        <w:pStyle w:val="Style_4"/>
        <w:ind w:firstLine="540" w:left="0"/>
        <w:jc w:val="both"/>
        <w:rPr>
          <w:rStyle w:val="Style_3_ch"/>
          <w:rFonts w:ascii="Times New Roman" w:hAnsi="Times New Roman"/>
          <w:b w:val="0"/>
          <w:color w:val="000000"/>
          <w:sz w:val="24"/>
        </w:rPr>
      </w:pPr>
      <w:r>
        <w:rPr>
          <w:rStyle w:val="Style_3_ch"/>
          <w:rFonts w:ascii="Times New Roman" w:hAnsi="Times New Roman"/>
          <w:b w:val="0"/>
          <w:color w:val="000000"/>
          <w:sz w:val="24"/>
        </w:rPr>
        <w:t>2. Считать утратившим силу решение Собрания депутатов городского поселения «Дедовичи» от 30.01.2020 № 262 «Об утверждении методики расчета межбюджетных трансфертов, передаваемых из бюджета муниципального образования «Дедовичи» бюджету муниципального образования «Дедовичский район» по осуществлению контрольно-счетного органа муниципального образования «Дедовичи» по внешнему муниципальному финансовому контролю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>»</w:t>
      </w:r>
      <w:r>
        <w:rPr>
          <w:rStyle w:val="Style_3_ch"/>
          <w:rFonts w:ascii="Times New Roman" w:hAnsi="Times New Roman"/>
          <w:b w:val="0"/>
          <w:color w:val="000000"/>
          <w:sz w:val="24"/>
        </w:rPr>
        <w:t>.</w:t>
      </w:r>
    </w:p>
    <w:p w14:paraId="1F000000">
      <w:pPr>
        <w:pStyle w:val="Style_4"/>
        <w:ind w:firstLine="540" w:left="0"/>
        <w:jc w:val="both"/>
        <w:rPr>
          <w:color w:val="000000"/>
        </w:rPr>
      </w:pPr>
      <w:r>
        <w:t>2</w:t>
      </w:r>
      <w:r>
        <w:t xml:space="preserve">. Контроль за исполнением настоящего </w:t>
      </w:r>
      <w:r>
        <w:t>решения</w:t>
      </w:r>
      <w:r>
        <w:t xml:space="preserve"> оставляю за собой</w:t>
      </w:r>
      <w:r>
        <w:t>.</w:t>
      </w:r>
    </w:p>
    <w:p w14:paraId="20000000">
      <w:pPr>
        <w:pStyle w:val="Style_4"/>
        <w:ind w:firstLine="540" w:left="0"/>
        <w:jc w:val="both"/>
      </w:pPr>
      <w:r>
        <w:t>3</w:t>
      </w:r>
      <w:r>
        <w:t xml:space="preserve">. Обнародовать настоящее </w:t>
      </w:r>
      <w:r>
        <w:t>решение</w:t>
      </w:r>
      <w:r>
        <w:t>.</w:t>
      </w:r>
    </w:p>
    <w:p w14:paraId="21000000">
      <w:pPr>
        <w:pStyle w:val="Style_4"/>
      </w:pPr>
    </w:p>
    <w:p w14:paraId="22000000">
      <w:pPr>
        <w:pStyle w:val="Style_4"/>
      </w:pPr>
    </w:p>
    <w:p w14:paraId="23000000">
      <w:pPr>
        <w:pStyle w:val="Style_4"/>
      </w:pPr>
      <w:r>
        <w:t xml:space="preserve">Глава </w:t>
      </w:r>
      <w:r>
        <w:t xml:space="preserve">городского </w:t>
      </w:r>
      <w:r>
        <w:t>поселения</w:t>
      </w:r>
      <w:r>
        <w:t xml:space="preserve"> </w:t>
      </w:r>
      <w:r>
        <w:t>«</w:t>
      </w:r>
      <w:r>
        <w:t>Дедовичи</w:t>
      </w:r>
      <w:r>
        <w:t>»</w:t>
      </w:r>
      <w:r>
        <w:t xml:space="preserve">                              </w:t>
      </w:r>
      <w:r>
        <w:t xml:space="preserve">                         </w:t>
      </w:r>
      <w:r>
        <w:t xml:space="preserve"> </w:t>
      </w:r>
      <w:r>
        <w:t>Н.Ю. Елизаров</w:t>
      </w:r>
      <w:r>
        <w:t xml:space="preserve">                     </w:t>
      </w:r>
      <w:r>
        <w:t xml:space="preserve">      </w:t>
      </w:r>
    </w:p>
    <w:p w14:paraId="24000000">
      <w:pPr>
        <w:pStyle w:val="Style_4"/>
      </w:pPr>
    </w:p>
    <w:p w14:paraId="25000000">
      <w:pPr>
        <w:pStyle w:val="Style_4"/>
        <w:widowControl w:val="1"/>
        <w:ind/>
        <w:jc w:val="both"/>
      </w:pPr>
    </w:p>
    <w:p w14:paraId="26000000">
      <w:pPr>
        <w:pStyle w:val="Style_4"/>
        <w:widowControl w:val="1"/>
        <w:ind/>
        <w:jc w:val="both"/>
      </w:pPr>
    </w:p>
    <w:p w14:paraId="27000000">
      <w:pPr>
        <w:pStyle w:val="Style_4"/>
        <w:widowControl w:val="1"/>
        <w:ind/>
        <w:jc w:val="both"/>
      </w:pPr>
    </w:p>
    <w:p w14:paraId="28000000">
      <w:pPr>
        <w:pStyle w:val="Style_4"/>
        <w:widowControl w:val="1"/>
        <w:ind/>
        <w:jc w:val="both"/>
      </w:pPr>
    </w:p>
    <w:p w14:paraId="29000000">
      <w:pPr>
        <w:pStyle w:val="Style_4"/>
        <w:widowControl w:val="1"/>
        <w:ind/>
        <w:jc w:val="both"/>
      </w:pPr>
    </w:p>
    <w:p w14:paraId="2A000000">
      <w:pPr>
        <w:pStyle w:val="Style_4"/>
        <w:widowControl w:val="1"/>
        <w:ind/>
        <w:jc w:val="both"/>
      </w:pPr>
    </w:p>
    <w:p w14:paraId="2B000000">
      <w:pPr>
        <w:pStyle w:val="Style_4"/>
        <w:widowControl w:val="1"/>
        <w:ind/>
        <w:jc w:val="both"/>
      </w:pPr>
    </w:p>
    <w:p w14:paraId="2C000000">
      <w:pPr>
        <w:pStyle w:val="Style_4"/>
        <w:widowControl w:val="1"/>
        <w:ind/>
        <w:jc w:val="both"/>
      </w:pPr>
    </w:p>
    <w:p w14:paraId="2D000000">
      <w:pPr>
        <w:pStyle w:val="Style_4"/>
        <w:widowControl w:val="1"/>
        <w:ind/>
        <w:jc w:val="both"/>
      </w:pPr>
    </w:p>
    <w:p w14:paraId="2E000000">
      <w:pPr>
        <w:pStyle w:val="Style_4"/>
        <w:widowControl w:val="1"/>
        <w:ind/>
        <w:jc w:val="both"/>
      </w:pPr>
    </w:p>
    <w:p w14:paraId="2F000000">
      <w:pPr>
        <w:pStyle w:val="Style_4"/>
        <w:widowControl w:val="1"/>
        <w:ind/>
        <w:jc w:val="both"/>
      </w:pPr>
    </w:p>
    <w:p w14:paraId="30000000">
      <w:pPr>
        <w:pStyle w:val="Style_4"/>
        <w:widowControl w:val="1"/>
        <w:ind/>
        <w:jc w:val="both"/>
      </w:pPr>
      <w:r>
        <w:t xml:space="preserve"> </w:t>
      </w:r>
    </w:p>
    <w:p w14:paraId="31000000">
      <w:pPr>
        <w:pStyle w:val="Style_4"/>
        <w:ind/>
        <w:jc w:val="right"/>
      </w:pPr>
    </w:p>
    <w:p w14:paraId="32000000">
      <w:pPr>
        <w:pStyle w:val="Style_4"/>
        <w:ind/>
        <w:jc w:val="right"/>
      </w:pPr>
    </w:p>
    <w:p w14:paraId="33000000">
      <w:pPr>
        <w:pStyle w:val="Style_4"/>
        <w:ind/>
        <w:jc w:val="right"/>
      </w:pPr>
    </w:p>
    <w:p w14:paraId="34000000">
      <w:pPr>
        <w:pStyle w:val="Style_4"/>
      </w:pPr>
    </w:p>
    <w:p w14:paraId="35000000">
      <w:pPr>
        <w:pStyle w:val="Style_4"/>
      </w:pPr>
    </w:p>
    <w:p w14:paraId="36000000">
      <w:pPr>
        <w:pStyle w:val="Style_4"/>
      </w:pPr>
    </w:p>
    <w:p w14:paraId="37000000">
      <w:pPr>
        <w:pStyle w:val="Style_4"/>
        <w:ind/>
        <w:jc w:val="right"/>
      </w:pPr>
      <w:r>
        <w:t>Утверждены</w:t>
      </w:r>
    </w:p>
    <w:p w14:paraId="38000000">
      <w:pPr>
        <w:pStyle w:val="Style_4"/>
        <w:ind/>
        <w:jc w:val="center"/>
      </w:pPr>
      <w:r>
        <w:t xml:space="preserve">                                                                                  </w:t>
      </w:r>
      <w:r>
        <w:t>решени</w:t>
      </w:r>
      <w:r>
        <w:t>ем</w:t>
      </w:r>
      <w:r>
        <w:t xml:space="preserve"> Собрания депутатов</w:t>
      </w:r>
      <w:r>
        <w:t xml:space="preserve"> </w:t>
      </w:r>
      <w:r>
        <w:t>городского</w:t>
      </w:r>
    </w:p>
    <w:p w14:paraId="39000000">
      <w:pPr>
        <w:pStyle w:val="Style_4"/>
        <w:ind/>
        <w:jc w:val="center"/>
      </w:pPr>
      <w:r>
        <w:t xml:space="preserve">                                                                    </w:t>
      </w:r>
      <w:r>
        <w:t xml:space="preserve">     </w:t>
      </w:r>
      <w:r>
        <w:t>поселения</w:t>
      </w:r>
      <w:r>
        <w:t xml:space="preserve"> </w:t>
      </w:r>
      <w:r>
        <w:t>«</w:t>
      </w:r>
      <w:r>
        <w:t>Дедовичи</w:t>
      </w:r>
      <w:r>
        <w:t>»</w:t>
      </w:r>
      <w:r>
        <w:t xml:space="preserve"> </w:t>
      </w:r>
      <w:r>
        <w:t>от</w:t>
      </w:r>
      <w:r>
        <w:t xml:space="preserve">28.12.2022 </w:t>
      </w:r>
      <w:r>
        <w:t>№</w:t>
      </w:r>
      <w:r>
        <w:t xml:space="preserve"> 117</w:t>
      </w:r>
    </w:p>
    <w:p w14:paraId="3A000000">
      <w:pPr>
        <w:pStyle w:val="Style_4"/>
        <w:ind/>
        <w:jc w:val="center"/>
        <w:rPr>
          <w:sz w:val="22"/>
        </w:rPr>
      </w:pPr>
    </w:p>
    <w:p w14:paraId="3B000000">
      <w:pPr>
        <w:pStyle w:val="Style_4"/>
        <w:ind/>
        <w:jc w:val="both"/>
      </w:pPr>
    </w:p>
    <w:p w14:paraId="3C000000">
      <w:pPr>
        <w:ind/>
        <w:jc w:val="center"/>
        <w:rPr>
          <w:rStyle w:val="Style_3_ch"/>
          <w:rFonts w:ascii="Times New Roman" w:hAnsi="Times New Roman"/>
          <w:color w:val="000000"/>
          <w:sz w:val="24"/>
        </w:rPr>
      </w:pPr>
      <w:bookmarkStart w:id="1" w:name="P26"/>
      <w:bookmarkEnd w:id="1"/>
      <w:r>
        <w:rPr>
          <w:b w:val="1"/>
        </w:rPr>
        <w:t xml:space="preserve">Методики расчета </w:t>
      </w:r>
      <w:r>
        <w:rPr>
          <w:b w:val="1"/>
        </w:rPr>
        <w:t xml:space="preserve">иных </w:t>
      </w:r>
      <w:r>
        <w:rPr>
          <w:b w:val="1"/>
        </w:rPr>
        <w:t>межбюджетных трансфертов, передаваемых  из бюджета муниципального образования</w:t>
      </w:r>
      <w:r>
        <w:t xml:space="preserve">   </w:t>
      </w:r>
      <w:r>
        <w:rPr>
          <w:rStyle w:val="Style_3_ch"/>
          <w:rFonts w:ascii="Times New Roman" w:hAnsi="Times New Roman"/>
          <w:color w:val="000000"/>
          <w:sz w:val="24"/>
        </w:rPr>
        <w:t>«</w:t>
      </w:r>
      <w:r>
        <w:rPr>
          <w:rStyle w:val="Style_3_ch"/>
          <w:rFonts w:ascii="Times New Roman" w:hAnsi="Times New Roman"/>
          <w:color w:val="000000"/>
          <w:sz w:val="24"/>
        </w:rPr>
        <w:t>Дедовичи</w:t>
      </w:r>
      <w:r>
        <w:rPr>
          <w:rStyle w:val="Style_3_ch"/>
          <w:rFonts w:ascii="Times New Roman" w:hAnsi="Times New Roman"/>
          <w:color w:val="000000"/>
          <w:sz w:val="24"/>
        </w:rPr>
        <w:t xml:space="preserve">» </w:t>
      </w:r>
      <w:r>
        <w:rPr>
          <w:b w:val="1"/>
        </w:rPr>
        <w:t>бюджету</w:t>
      </w:r>
      <w:r>
        <w:t xml:space="preserve"> </w:t>
      </w:r>
      <w:r>
        <w:rPr>
          <w:rStyle w:val="Style_3_ch"/>
          <w:rFonts w:ascii="Times New Roman" w:hAnsi="Times New Roman"/>
          <w:color w:val="000000"/>
          <w:sz w:val="24"/>
        </w:rPr>
        <w:t xml:space="preserve">муниципального </w:t>
      </w:r>
    </w:p>
    <w:p w14:paraId="3D000000">
      <w:pPr>
        <w:ind/>
        <w:jc w:val="center"/>
        <w:rPr>
          <w:b w:val="1"/>
          <w:color w:val="000000"/>
        </w:rPr>
      </w:pPr>
      <w:r>
        <w:rPr>
          <w:rStyle w:val="Style_3_ch"/>
          <w:rFonts w:ascii="Times New Roman" w:hAnsi="Times New Roman"/>
          <w:color w:val="000000"/>
          <w:sz w:val="24"/>
        </w:rPr>
        <w:t xml:space="preserve">образования «Дедовичский район» </w:t>
      </w:r>
    </w:p>
    <w:p w14:paraId="3E000000">
      <w:pPr>
        <w:ind w:firstLine="709" w:left="0"/>
        <w:jc w:val="both"/>
        <w:rPr>
          <w:color w:val="000000"/>
        </w:rPr>
      </w:pPr>
    </w:p>
    <w:p w14:paraId="3F000000">
      <w:pPr>
        <w:ind w:firstLine="709" w:left="0"/>
        <w:jc w:val="center"/>
        <w:rPr>
          <w:b w:val="1"/>
        </w:rPr>
      </w:pPr>
      <w:r>
        <w:rPr>
          <w:b w:val="1"/>
          <w:color w:val="000000"/>
        </w:rPr>
        <w:t>1</w:t>
      </w:r>
      <w:r>
        <w:rPr>
          <w:b w:val="1"/>
          <w:color w:val="000000"/>
        </w:rPr>
        <w:t>. Методика расчета иных межбюджетных трансфертов</w:t>
      </w:r>
      <w:r>
        <w:rPr>
          <w:b w:val="1"/>
        </w:rPr>
        <w:t xml:space="preserve"> </w:t>
      </w:r>
      <w:r>
        <w:rPr>
          <w:b w:val="1"/>
        </w:rPr>
        <w:t xml:space="preserve">на реализацию полномочий контрольно-счетного органа по осуществлению внешнего </w:t>
      </w:r>
    </w:p>
    <w:p w14:paraId="40000000">
      <w:pPr>
        <w:ind w:firstLine="709" w:left="0"/>
        <w:jc w:val="center"/>
        <w:rPr>
          <w:b w:val="1"/>
        </w:rPr>
      </w:pPr>
      <w:r>
        <w:rPr>
          <w:b w:val="1"/>
        </w:rPr>
        <w:t>муниципального финансового контроля</w:t>
      </w:r>
      <w:r>
        <w:t xml:space="preserve"> </w:t>
      </w:r>
    </w:p>
    <w:p w14:paraId="41000000">
      <w:pPr>
        <w:rPr>
          <w:b w:val="1"/>
          <w:sz w:val="26"/>
        </w:rPr>
      </w:pPr>
    </w:p>
    <w:p w14:paraId="42000000">
      <w:pPr>
        <w:ind w:firstLine="709" w:left="0"/>
        <w:jc w:val="both"/>
      </w:pPr>
      <w:r>
        <w:t xml:space="preserve">1.1. Методика расчета объемов </w:t>
      </w:r>
      <w:r>
        <w:t xml:space="preserve">иных </w:t>
      </w:r>
      <w:r>
        <w:t>межбюджетных трансфертов, передаваемых из бюджета муниципального образования «Дедовичи» (далее - бюджет поселения) в бюджет муниципального образования «Дедовичский район» (далее</w:t>
      </w:r>
      <w:r>
        <w:t xml:space="preserve"> – бюджет муниципального района)</w:t>
      </w:r>
      <w:r>
        <w:t xml:space="preserve"> по осуществлению полномочий контрольно-счетного органа муниципального образования «Дедовичи» по внешнему муниципальному финансовому контролю (далее - Методика) определяет цели предоставления и порядок расчета объемов </w:t>
      </w:r>
      <w:r>
        <w:t xml:space="preserve">иных </w:t>
      </w:r>
      <w:r>
        <w:t xml:space="preserve">межбюджетных трансфертов, передаваемых из бюджета поселения в бюджет муниципального района (далее – </w:t>
      </w:r>
      <w:r>
        <w:t xml:space="preserve">иные </w:t>
      </w:r>
      <w:r>
        <w:t>межбюджетные трансферты</w:t>
      </w:r>
      <w:r>
        <w:t>) в случае передачи полномочий контрольно-счетного органа муниципального образования «Дедовичи» по осуществлению полномочий контрольно-счетного органа муниципального образования «Дедовичи» по внешнему муниципальному финансовому контролю Контрольно-счетной палате Дедовичского района (далее – Контрольно-счетная палата).</w:t>
      </w:r>
    </w:p>
    <w:p w14:paraId="43000000">
      <w:pPr>
        <w:ind w:firstLine="709" w:left="0"/>
        <w:jc w:val="both"/>
      </w:pPr>
      <w:r>
        <w:t>Иные м</w:t>
      </w:r>
      <w:r>
        <w:t>ежбюджетные трансферты предоставляются в целях финансового обеспечения деятельности Контрольно-счетной палаты в связи с осуществлением ею контрольных и экспертно-аналитических мероприятий в рамках переданных полномочий городского поселения «Дедовичи».</w:t>
      </w:r>
    </w:p>
    <w:p w14:paraId="44000000">
      <w:pPr>
        <w:ind w:firstLine="709" w:left="0"/>
        <w:jc w:val="both"/>
      </w:pPr>
      <w:r>
        <w:t>1.</w:t>
      </w:r>
      <w:r>
        <w:t>2</w:t>
      </w:r>
      <w:r>
        <w:t xml:space="preserve">. </w:t>
      </w:r>
      <w:r>
        <w:t>Иные межбюджетные т</w:t>
      </w:r>
      <w:r>
        <w:t>рансферты имеют строго целевое назначение и расходуются Администрацией Дедовичского района на цели, указанные в пункте 1.</w:t>
      </w:r>
      <w:r>
        <w:t>1</w:t>
      </w:r>
      <w:r>
        <w:t xml:space="preserve"> настоящей Методики.</w:t>
      </w:r>
    </w:p>
    <w:p w14:paraId="45000000">
      <w:pPr>
        <w:ind w:firstLine="709" w:left="0"/>
        <w:rPr>
          <w:color w:val="000000"/>
        </w:rPr>
      </w:pPr>
      <w:r>
        <w:t>1</w:t>
      </w:r>
      <w:r>
        <w:t>.</w:t>
      </w:r>
      <w:r>
        <w:t>3</w:t>
      </w:r>
      <w:r>
        <w:t>.</w:t>
      </w:r>
      <w:r>
        <w:rPr>
          <w:b w:val="1"/>
        </w:rPr>
        <w:t xml:space="preserve"> </w:t>
      </w:r>
      <w:r>
        <w:rPr>
          <w:color w:val="000000"/>
        </w:rPr>
        <w:t>Размер</w:t>
      </w:r>
      <w:r>
        <w:rPr>
          <w:color w:val="000000"/>
        </w:rPr>
        <w:t xml:space="preserve"> иных межбюджетных трансфертов определяется по формуле:</w:t>
      </w:r>
    </w:p>
    <w:p w14:paraId="46000000">
      <w:pPr>
        <w:ind w:firstLine="709" w:left="0"/>
      </w:pPr>
    </w:p>
    <w:p w14:paraId="47000000">
      <w:pPr>
        <w:ind/>
        <w:jc w:val="center"/>
        <w:rPr>
          <w:color w:val="000000"/>
        </w:rPr>
      </w:pPr>
      <w:r>
        <w:rPr>
          <w:color w:val="000000"/>
        </w:rPr>
        <w:t xml:space="preserve">С </w:t>
      </w:r>
      <w:r>
        <w:rPr>
          <w:color w:val="000000"/>
          <w:sz w:val="16"/>
        </w:rPr>
        <w:t xml:space="preserve">ксп = </w:t>
      </w:r>
      <w:r>
        <w:rPr>
          <w:color w:val="000000"/>
        </w:rPr>
        <w:t xml:space="preserve">Р </w:t>
      </w:r>
      <w:r>
        <w:rPr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t>8,8</w:t>
      </w:r>
      <w:r>
        <w:rPr>
          <w:color w:val="000000"/>
        </w:rPr>
        <w:t xml:space="preserve"> %, </w:t>
      </w:r>
    </w:p>
    <w:p w14:paraId="48000000">
      <w:pPr>
        <w:ind w:firstLine="709" w:left="0"/>
        <w:rPr>
          <w:color w:val="000000"/>
        </w:rPr>
      </w:pPr>
      <w:r>
        <w:rPr>
          <w:color w:val="000000"/>
        </w:rPr>
        <w:t>где:</w:t>
      </w:r>
    </w:p>
    <w:p w14:paraId="49000000">
      <w:pPr>
        <w:ind w:firstLine="709" w:left="0"/>
        <w:rPr>
          <w:color w:val="000000"/>
        </w:rPr>
      </w:pPr>
      <w:r>
        <w:rPr>
          <w:color w:val="000000"/>
        </w:rPr>
        <w:t xml:space="preserve">С </w:t>
      </w:r>
      <w:r>
        <w:rPr>
          <w:color w:val="000000"/>
          <w:sz w:val="16"/>
        </w:rPr>
        <w:t xml:space="preserve">ксп – </w:t>
      </w:r>
      <w:r>
        <w:rPr>
          <w:color w:val="000000"/>
        </w:rPr>
        <w:t>иные межбюджетные трансфер</w:t>
      </w:r>
      <w:r>
        <w:rPr>
          <w:color w:val="000000"/>
        </w:rPr>
        <w:t>ты на осуществление полномочий К</w:t>
      </w:r>
      <w:r>
        <w:rPr>
          <w:color w:val="000000"/>
        </w:rPr>
        <w:t>онтрольно-счетной палаты;</w:t>
      </w:r>
    </w:p>
    <w:p w14:paraId="4A000000">
      <w:pPr>
        <w:ind w:firstLine="709" w:left="0"/>
        <w:rPr>
          <w:color w:val="000000"/>
        </w:rPr>
      </w:pPr>
      <w:r>
        <w:rPr>
          <w:color w:val="000000"/>
        </w:rPr>
        <w:t>Р – расходы на содержание Контрольно-счетной палаты.</w:t>
      </w:r>
    </w:p>
    <w:p w14:paraId="4B000000">
      <w:pPr>
        <w:ind w:firstLine="709" w:left="0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.</w:t>
      </w:r>
      <w:r>
        <w:rPr>
          <w:color w:val="000000"/>
        </w:rPr>
        <w:t>4</w:t>
      </w:r>
      <w:r>
        <w:rPr>
          <w:color w:val="000000"/>
        </w:rPr>
        <w:t xml:space="preserve">. При расчете </w:t>
      </w:r>
      <w:r>
        <w:rPr>
          <w:color w:val="000000"/>
        </w:rPr>
        <w:t xml:space="preserve">иных </w:t>
      </w:r>
      <w:r>
        <w:rPr>
          <w:color w:val="000000"/>
        </w:rPr>
        <w:t>межбюджетных трансфертов сумма округляется до целого числа.</w:t>
      </w:r>
    </w:p>
    <w:p w14:paraId="4C000000">
      <w:pPr>
        <w:rPr>
          <w:color w:val="000000"/>
        </w:rPr>
      </w:pPr>
    </w:p>
    <w:p w14:paraId="4D000000">
      <w:pPr>
        <w:ind/>
        <w:jc w:val="right"/>
      </w:pPr>
    </w:p>
    <w:p w14:paraId="4E000000">
      <w:pPr>
        <w:ind w:firstLine="709" w:left="0"/>
        <w:jc w:val="center"/>
      </w:pPr>
      <w:r>
        <w:rPr>
          <w:b w:val="1"/>
          <w:color w:val="000000"/>
        </w:rPr>
        <w:t>2</w:t>
      </w:r>
      <w:r>
        <w:rPr>
          <w:b w:val="1"/>
          <w:color w:val="000000"/>
        </w:rPr>
        <w:t>. Методика расчета иных межбюджетных трансфертов</w:t>
      </w:r>
      <w:r>
        <w:rPr>
          <w:b w:val="1"/>
        </w:rPr>
        <w:t xml:space="preserve"> </w:t>
      </w:r>
      <w:r>
        <w:rPr>
          <w:b w:val="1"/>
        </w:rPr>
        <w:t>на реализацию полномочий по назначению и выплате пенсий и доплат к трудовой пенсии</w:t>
      </w:r>
      <w:r>
        <w:t xml:space="preserve"> </w:t>
      </w:r>
    </w:p>
    <w:p w14:paraId="4F000000">
      <w:pPr>
        <w:ind w:firstLine="709" w:left="0"/>
        <w:jc w:val="center"/>
        <w:rPr>
          <w:b w:val="1"/>
        </w:rPr>
      </w:pPr>
    </w:p>
    <w:p w14:paraId="50000000">
      <w:pPr>
        <w:ind w:firstLine="709" w:left="0"/>
        <w:jc w:val="both"/>
      </w:pPr>
      <w:r>
        <w:t>2</w:t>
      </w:r>
      <w:r>
        <w:t xml:space="preserve">.1. Методика расчета объемов </w:t>
      </w:r>
      <w:r>
        <w:t xml:space="preserve">иных </w:t>
      </w:r>
      <w:r>
        <w:t>межбюджетных трансфертов, передаваемых из бюджета муниципального образования «Дедовичи» (далее - бюджет поселения) в бюджет муниципального образования «Дедовичский район» (далее</w:t>
      </w:r>
      <w:r>
        <w:t xml:space="preserve"> – бюджет муниципального района)</w:t>
      </w:r>
      <w:r>
        <w:t xml:space="preserve"> по осуществлению полномочий </w:t>
      </w:r>
      <w:r>
        <w:t>по назначению и выплате пенсий и доплат к трудовой пенсии</w:t>
      </w:r>
      <w:r>
        <w:t xml:space="preserve"> </w:t>
      </w:r>
      <w:r>
        <w:t xml:space="preserve">(далее - Методика) определяет цели предоставления и порядок расчета объемов </w:t>
      </w:r>
      <w:r>
        <w:t xml:space="preserve">иных </w:t>
      </w:r>
      <w:r>
        <w:t xml:space="preserve">межбюджетных трансфертов, передаваемых из бюджета поселения в бюджет муниципального района (далее – </w:t>
      </w:r>
      <w:r>
        <w:t xml:space="preserve">иные </w:t>
      </w:r>
      <w:r>
        <w:t xml:space="preserve">межбюджетные трансферты) в случае передачи полномочий </w:t>
      </w:r>
      <w:r>
        <w:t>по назначению и выплате пенсий и доплат к трудовой пенсии</w:t>
      </w:r>
      <w:r>
        <w:t>).</w:t>
      </w:r>
    </w:p>
    <w:p w14:paraId="51000000">
      <w:pPr>
        <w:ind w:firstLine="709" w:left="0"/>
        <w:jc w:val="both"/>
      </w:pPr>
      <w:r>
        <w:t>Иные м</w:t>
      </w:r>
      <w:r>
        <w:t xml:space="preserve">ежбюджетные трансферты предоставляются в целях финансового обеспечения </w:t>
      </w:r>
      <w:r>
        <w:t>выплаты ежемесячной доплаты к трудовой пенсии лицам, являвшимся Главами муниципальных образований, в соответствии со ст. 13 Закона Псковской области от 04.06.2006 № 556-ОЗ «О статусе главы городского (сельского) поселения</w:t>
      </w:r>
      <w:r>
        <w:t>» и лицам, замещавшим должности муниципальной службы в органах местного самоуправления муниципального образования «Дедовичи» в соответствии с Законом Псковской области от 27.04.2000 № 101-ФЗ «О пенсиях за выслугу лет муниципальным служащим в Псковской области».</w:t>
      </w:r>
    </w:p>
    <w:p w14:paraId="52000000">
      <w:pPr>
        <w:ind w:firstLine="709" w:left="0"/>
        <w:jc w:val="both"/>
      </w:pPr>
      <w:r>
        <w:t>2</w:t>
      </w:r>
      <w:r>
        <w:t xml:space="preserve">.2. </w:t>
      </w:r>
      <w:r>
        <w:t>Иные межбюджетные трансферты</w:t>
      </w:r>
      <w:r>
        <w:t xml:space="preserve"> имеют строго целевое назначение и расходуются Администрацией Дедовичского района на цели, указанные в пункте </w:t>
      </w:r>
      <w:r>
        <w:t>2</w:t>
      </w:r>
      <w:r>
        <w:t>.1 настоящей Методики.</w:t>
      </w:r>
    </w:p>
    <w:p w14:paraId="53000000">
      <w:pPr>
        <w:ind w:firstLine="709" w:left="0"/>
        <w:rPr>
          <w:color w:val="000000"/>
        </w:rPr>
      </w:pPr>
      <w:r>
        <w:rPr>
          <w:sz w:val="26"/>
        </w:rPr>
        <w:t>2</w:t>
      </w:r>
      <w:r>
        <w:rPr>
          <w:sz w:val="26"/>
        </w:rPr>
        <w:t>.</w:t>
      </w:r>
      <w:r>
        <w:rPr>
          <w:sz w:val="26"/>
        </w:rPr>
        <w:t>3</w:t>
      </w:r>
      <w:r>
        <w:rPr>
          <w:sz w:val="26"/>
        </w:rPr>
        <w:t>.</w:t>
      </w:r>
      <w:r>
        <w:rPr>
          <w:b w:val="1"/>
          <w:sz w:val="26"/>
        </w:rPr>
        <w:t xml:space="preserve"> </w:t>
      </w:r>
      <w:r>
        <w:rPr>
          <w:color w:val="000000"/>
        </w:rPr>
        <w:t>Размер иных межбюджетных трансфертов определяется по формуле:</w:t>
      </w:r>
    </w:p>
    <w:p w14:paraId="54000000">
      <w:pPr>
        <w:ind w:firstLine="709" w:left="0"/>
      </w:pPr>
    </w:p>
    <w:p w14:paraId="55000000">
      <w:pPr>
        <w:ind/>
        <w:jc w:val="center"/>
        <w:rPr>
          <w:color w:val="000000"/>
        </w:rPr>
      </w:pPr>
      <w:r>
        <w:rPr>
          <w:color w:val="000000"/>
        </w:rPr>
        <w:t xml:space="preserve">С </w:t>
      </w:r>
      <w:r>
        <w:rPr>
          <w:color w:val="000000"/>
          <w:sz w:val="16"/>
        </w:rPr>
        <w:t xml:space="preserve">п = </w:t>
      </w:r>
      <w:r>
        <w:rPr>
          <w:color w:val="000000"/>
        </w:rPr>
        <w:t xml:space="preserve">N </w:t>
      </w:r>
      <w:r>
        <w:rPr>
          <w:color w:val="000000"/>
        </w:rPr>
        <w:t>x</w:t>
      </w:r>
      <w:r>
        <w:rPr>
          <w:color w:val="000000"/>
        </w:rPr>
        <w:t xml:space="preserve"> H</w:t>
      </w:r>
      <w:r>
        <w:rPr>
          <w:color w:val="000000"/>
        </w:rPr>
        <w:t xml:space="preserve"> </w:t>
      </w:r>
    </w:p>
    <w:p w14:paraId="56000000">
      <w:pPr>
        <w:ind w:firstLine="709" w:left="0"/>
        <w:rPr>
          <w:color w:val="000000"/>
        </w:rPr>
      </w:pPr>
      <w:r>
        <w:rPr>
          <w:color w:val="000000"/>
        </w:rPr>
        <w:t>где:</w:t>
      </w:r>
    </w:p>
    <w:p w14:paraId="57000000">
      <w:pPr>
        <w:ind w:firstLine="709" w:left="0"/>
        <w:jc w:val="both"/>
      </w:pPr>
      <w:r>
        <w:rPr>
          <w:color w:val="000000"/>
        </w:rPr>
        <w:t xml:space="preserve">С </w:t>
      </w:r>
      <w:r>
        <w:rPr>
          <w:color w:val="000000"/>
          <w:sz w:val="16"/>
        </w:rPr>
        <w:t xml:space="preserve">п – </w:t>
      </w:r>
      <w:r>
        <w:rPr>
          <w:color w:val="000000"/>
        </w:rPr>
        <w:t xml:space="preserve">иные межбюджетные трансферты на осуществление полномочий </w:t>
      </w:r>
      <w:r>
        <w:t>по назначению и выплате пенсий и доплат к трудовой пенсии;</w:t>
      </w:r>
    </w:p>
    <w:p w14:paraId="58000000">
      <w:pPr>
        <w:ind w:firstLine="709" w:left="0"/>
        <w:rPr>
          <w:color w:val="000000"/>
        </w:rPr>
      </w:pPr>
      <w:r>
        <w:rPr>
          <w:color w:val="000000"/>
        </w:rPr>
        <w:t>N</w:t>
      </w:r>
      <w:r>
        <w:rPr>
          <w:color w:val="000000"/>
        </w:rPr>
        <w:t xml:space="preserve"> – </w:t>
      </w:r>
      <w:r>
        <w:rPr>
          <w:color w:val="000000"/>
        </w:rPr>
        <w:t>норматив</w:t>
      </w:r>
      <w:r>
        <w:rPr>
          <w:color w:val="000000"/>
        </w:rPr>
        <w:t xml:space="preserve"> на </w:t>
      </w:r>
      <w:r>
        <w:rPr>
          <w:color w:val="000000"/>
        </w:rPr>
        <w:t>выплату доплат к трудовой пенсии на одного пенсионера;</w:t>
      </w:r>
    </w:p>
    <w:p w14:paraId="59000000">
      <w:pPr>
        <w:ind w:firstLine="709" w:left="0"/>
        <w:rPr>
          <w:color w:val="000000"/>
        </w:rPr>
      </w:pPr>
      <w:r>
        <w:rPr>
          <w:color w:val="000000"/>
        </w:rPr>
        <w:t>H</w:t>
      </w:r>
      <w:r>
        <w:rPr>
          <w:color w:val="000000"/>
        </w:rPr>
        <w:t xml:space="preserve"> </w:t>
      </w:r>
      <w:r>
        <w:rPr>
          <w:color w:val="000000"/>
        </w:rPr>
        <w:t>– количество пенсионеров в муниципальном образовании «</w:t>
      </w:r>
      <w:r>
        <w:rPr>
          <w:color w:val="000000"/>
        </w:rPr>
        <w:t>Дедовичи</w:t>
      </w:r>
      <w:r>
        <w:rPr>
          <w:color w:val="000000"/>
        </w:rPr>
        <w:t xml:space="preserve">», которые </w:t>
      </w:r>
      <w:r>
        <w:rPr>
          <w:color w:val="000000"/>
        </w:rPr>
        <w:t xml:space="preserve">имеют право на </w:t>
      </w:r>
      <w:r>
        <w:rPr>
          <w:color w:val="000000"/>
        </w:rPr>
        <w:t>доплату к пенсии.</w:t>
      </w:r>
    </w:p>
    <w:p w14:paraId="5A000000">
      <w:pPr>
        <w:ind/>
        <w:jc w:val="right"/>
      </w:pPr>
    </w:p>
    <w:p w14:paraId="5B000000">
      <w:pPr>
        <w:ind w:firstLine="709" w:left="0"/>
        <w:jc w:val="center"/>
        <w:rPr>
          <w:b w:val="1"/>
        </w:rPr>
      </w:pPr>
      <w:r>
        <w:rPr>
          <w:b w:val="1"/>
          <w:color w:val="000000"/>
        </w:rPr>
        <w:t>3</w:t>
      </w:r>
      <w:r>
        <w:rPr>
          <w:b w:val="1"/>
          <w:color w:val="000000"/>
        </w:rPr>
        <w:t>. Методика расчета иных межбюджетных трансфертов</w:t>
      </w:r>
      <w:r>
        <w:rPr>
          <w:b w:val="1"/>
        </w:rPr>
        <w:t xml:space="preserve"> </w:t>
      </w:r>
      <w:r>
        <w:rPr>
          <w:b w:val="1"/>
        </w:rPr>
        <w:t xml:space="preserve">на </w:t>
      </w:r>
      <w:r>
        <w:rPr>
          <w:b w:val="1"/>
        </w:rPr>
        <w:t xml:space="preserve"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</w:t>
      </w:r>
    </w:p>
    <w:p w14:paraId="5C000000">
      <w:pPr>
        <w:ind w:firstLine="709" w:left="0"/>
        <w:jc w:val="center"/>
        <w:rPr>
          <w:b w:val="1"/>
        </w:rPr>
      </w:pPr>
      <w:r>
        <w:rPr>
          <w:b w:val="1"/>
        </w:rPr>
        <w:t>годовщины Победы</w:t>
      </w:r>
    </w:p>
    <w:p w14:paraId="5D000000">
      <w:pPr>
        <w:ind w:firstLine="709" w:left="0"/>
        <w:jc w:val="center"/>
        <w:rPr>
          <w:b w:val="1"/>
        </w:rPr>
      </w:pPr>
    </w:p>
    <w:p w14:paraId="5E000000">
      <w:pPr>
        <w:ind w:firstLine="709" w:left="0"/>
        <w:jc w:val="both"/>
      </w:pPr>
      <w:r>
        <w:t xml:space="preserve">3.1. Методика расчета объемов </w:t>
      </w:r>
      <w:r>
        <w:t xml:space="preserve">иных </w:t>
      </w:r>
      <w:r>
        <w:t>межбюджетных трансфертов, передаваемых из бюджета муниципального образования «Дедовичи» (далее - бюджет поселения) в бюджет муниципального образования «Дедовичский район» (далее</w:t>
      </w:r>
      <w:r>
        <w:t xml:space="preserve"> – бюджет муниципального района)</w:t>
      </w:r>
      <w:r>
        <w:t xml:space="preserve"> </w:t>
      </w:r>
      <w:r>
        <w:t>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</w:r>
      <w:r>
        <w:t xml:space="preserve"> </w:t>
      </w:r>
      <w:r>
        <w:t xml:space="preserve">(далее - Методика) определяет цели предоставления и порядок расчета объемов </w:t>
      </w:r>
      <w:r>
        <w:t xml:space="preserve">иных </w:t>
      </w:r>
      <w:r>
        <w:t>межбюджетных трансфертов, передаваемых из бюджета поселения</w:t>
      </w:r>
      <w:r>
        <w:t xml:space="preserve"> в бюджет муниципального района.</w:t>
      </w:r>
    </w:p>
    <w:p w14:paraId="5F000000">
      <w:pPr>
        <w:pStyle w:val="Style_5"/>
        <w:ind w:firstLine="709" w:left="0"/>
        <w:jc w:val="both"/>
        <w:rPr>
          <w:sz w:val="24"/>
        </w:rPr>
      </w:pPr>
      <w:r>
        <w:rPr>
          <w:sz w:val="24"/>
        </w:rPr>
        <w:t>Иные м</w:t>
      </w:r>
      <w:r>
        <w:rPr>
          <w:sz w:val="24"/>
        </w:rPr>
        <w:t xml:space="preserve">ежбюджетные трансферты предоставляются </w:t>
      </w:r>
      <w:r>
        <w:rPr>
          <w:sz w:val="24"/>
        </w:rPr>
        <w:t>в целях осуществления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Победы, следующим категориям граждан:</w:t>
      </w:r>
    </w:p>
    <w:p w14:paraId="60000000">
      <w:pPr>
        <w:pStyle w:val="Style_5"/>
        <w:ind w:firstLine="709" w:left="0"/>
        <w:jc w:val="both"/>
        <w:rPr>
          <w:sz w:val="24"/>
        </w:rPr>
      </w:pPr>
      <w:r>
        <w:rPr>
          <w:sz w:val="24"/>
        </w:rPr>
        <w:t>бывшим несовершеннолетним и совершеннолетним узникам фашистских концлагерей;</w:t>
      </w:r>
    </w:p>
    <w:p w14:paraId="61000000">
      <w:pPr>
        <w:pStyle w:val="Style_5"/>
        <w:ind w:firstLine="709" w:left="0"/>
        <w:jc w:val="both"/>
        <w:rPr>
          <w:sz w:val="24"/>
        </w:rPr>
      </w:pPr>
      <w:r>
        <w:rPr>
          <w:sz w:val="24"/>
        </w:rPr>
        <w:t>вдовам (вдовцам) погибших, умерших инвалидов и участников Великой Отечественной войны;</w:t>
      </w:r>
    </w:p>
    <w:p w14:paraId="62000000">
      <w:pPr>
        <w:pStyle w:val="Style_5"/>
        <w:ind w:firstLine="709" w:left="0"/>
        <w:jc w:val="both"/>
        <w:rPr>
          <w:sz w:val="24"/>
        </w:rPr>
      </w:pPr>
      <w:r>
        <w:rPr>
          <w:sz w:val="24"/>
        </w:rPr>
        <w:t>труженикам тыла.</w:t>
      </w:r>
    </w:p>
    <w:p w14:paraId="63000000">
      <w:pPr>
        <w:ind w:firstLine="709" w:left="0"/>
        <w:jc w:val="both"/>
      </w:pPr>
      <w:r>
        <w:t xml:space="preserve">3.2. </w:t>
      </w:r>
      <w:r>
        <w:t>Иные м</w:t>
      </w:r>
      <w:r>
        <w:t>ежбюджетные трансферты</w:t>
      </w:r>
      <w:r>
        <w:t xml:space="preserve"> имеют строго целевое назначение и расходуются Администрацией Дедовичского района на цели, указанные в пункте </w:t>
      </w:r>
      <w:r>
        <w:t>3</w:t>
      </w:r>
      <w:r>
        <w:t>.1 настоящей Методики.</w:t>
      </w:r>
    </w:p>
    <w:p w14:paraId="64000000">
      <w:pPr>
        <w:ind w:firstLine="709" w:left="0"/>
        <w:rPr>
          <w:color w:val="000000"/>
        </w:rPr>
      </w:pPr>
      <w:r>
        <w:rPr>
          <w:sz w:val="26"/>
        </w:rPr>
        <w:t>3</w:t>
      </w:r>
      <w:r>
        <w:rPr>
          <w:sz w:val="26"/>
        </w:rPr>
        <w:t>.</w:t>
      </w:r>
      <w:r>
        <w:rPr>
          <w:sz w:val="26"/>
        </w:rPr>
        <w:t>3</w:t>
      </w:r>
      <w:r>
        <w:rPr>
          <w:sz w:val="26"/>
        </w:rPr>
        <w:t>.</w:t>
      </w:r>
      <w:r>
        <w:rPr>
          <w:b w:val="1"/>
          <w:sz w:val="26"/>
        </w:rPr>
        <w:t xml:space="preserve"> </w:t>
      </w:r>
      <w:r>
        <w:rPr>
          <w:color w:val="000000"/>
        </w:rPr>
        <w:t>Размер иных межбюджетных трансфертов определяется по формуле:</w:t>
      </w:r>
    </w:p>
    <w:p w14:paraId="65000000">
      <w:pPr>
        <w:ind w:firstLine="709" w:left="0"/>
      </w:pPr>
    </w:p>
    <w:p w14:paraId="66000000">
      <w:pPr>
        <w:ind/>
        <w:jc w:val="center"/>
        <w:rPr>
          <w:color w:val="000000"/>
        </w:rPr>
      </w:pPr>
      <w:r>
        <w:rPr>
          <w:color w:val="000000"/>
        </w:rPr>
        <w:t xml:space="preserve">С </w:t>
      </w:r>
      <w:r>
        <w:rPr>
          <w:color w:val="000000"/>
          <w:sz w:val="16"/>
        </w:rPr>
        <w:t>v</w:t>
      </w:r>
      <w:r>
        <w:rPr>
          <w:color w:val="000000"/>
          <w:sz w:val="16"/>
        </w:rPr>
        <w:t xml:space="preserve"> = </w:t>
      </w:r>
      <w:r>
        <w:rPr>
          <w:color w:val="000000"/>
        </w:rPr>
        <w:t>N</w:t>
      </w:r>
      <w:r>
        <w:rPr>
          <w:color w:val="000000"/>
        </w:rPr>
        <w:t xml:space="preserve"> </w:t>
      </w:r>
      <w:r>
        <w:rPr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t>V</w:t>
      </w:r>
      <w:r>
        <w:rPr>
          <w:color w:val="000000"/>
        </w:rPr>
        <w:t xml:space="preserve"> </w:t>
      </w:r>
    </w:p>
    <w:p w14:paraId="67000000">
      <w:pPr>
        <w:ind w:firstLine="709" w:left="0"/>
        <w:rPr>
          <w:color w:val="000000"/>
        </w:rPr>
      </w:pPr>
      <w:r>
        <w:rPr>
          <w:color w:val="000000"/>
        </w:rPr>
        <w:t>где:</w:t>
      </w:r>
    </w:p>
    <w:p w14:paraId="68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С </w:t>
      </w:r>
      <w:r>
        <w:rPr>
          <w:color w:val="000000"/>
          <w:sz w:val="16"/>
        </w:rPr>
        <w:t>v</w:t>
      </w:r>
      <w:r>
        <w:rPr>
          <w:color w:val="000000"/>
          <w:sz w:val="16"/>
        </w:rPr>
        <w:t xml:space="preserve"> – </w:t>
      </w:r>
      <w:r>
        <w:rPr>
          <w:color w:val="000000"/>
        </w:rPr>
        <w:t xml:space="preserve">иные межбюджетные трансферты на </w:t>
      </w:r>
      <w:r>
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</w:r>
      <w:r>
        <w:rPr>
          <w:color w:val="000000"/>
        </w:rPr>
        <w:t>;</w:t>
      </w:r>
    </w:p>
    <w:p w14:paraId="69000000">
      <w:pPr>
        <w:pStyle w:val="Style_5"/>
        <w:ind w:firstLine="709" w:left="0"/>
        <w:jc w:val="both"/>
        <w:rPr>
          <w:sz w:val="24"/>
        </w:rPr>
      </w:pPr>
      <w:r>
        <w:rPr>
          <w:color w:val="000000"/>
        </w:rPr>
        <w:t>N</w:t>
      </w:r>
      <w:r>
        <w:rPr>
          <w:color w:val="000000"/>
        </w:rPr>
        <w:t xml:space="preserve"> – </w:t>
      </w:r>
      <w:r>
        <w:rPr>
          <w:color w:val="000000"/>
          <w:sz w:val="24"/>
        </w:rPr>
        <w:t>норматив</w:t>
      </w:r>
      <w:r>
        <w:rPr>
          <w:color w:val="000000"/>
          <w:sz w:val="24"/>
        </w:rPr>
        <w:t xml:space="preserve"> выплаты на одного гражданина РФ, относящегося к отдельным  категориям граждан:</w:t>
      </w:r>
      <w:r>
        <w:rPr>
          <w:color w:val="000000"/>
        </w:rPr>
        <w:t xml:space="preserve"> </w:t>
      </w:r>
      <w:r>
        <w:rPr>
          <w:sz w:val="24"/>
        </w:rPr>
        <w:t>бывшие несовершеннолетние и совершеннолетние узники фашистских концлагерей; вдовы (вдовцы) погибших, умерших инвалидов и участников Великой Отечественной войны; труженики тыла.</w:t>
      </w:r>
    </w:p>
    <w:p w14:paraId="6A000000">
      <w:pPr>
        <w:ind w:firstLine="709" w:left="0"/>
        <w:rPr>
          <w:color w:val="000000"/>
        </w:rPr>
      </w:pPr>
      <w:r>
        <w:rPr>
          <w:color w:val="000000"/>
        </w:rPr>
        <w:t>V</w:t>
      </w:r>
      <w:r>
        <w:rPr>
          <w:color w:val="000000"/>
        </w:rPr>
        <w:t xml:space="preserve"> </w:t>
      </w:r>
      <w:r>
        <w:rPr>
          <w:color w:val="000000"/>
        </w:rPr>
        <w:t xml:space="preserve">– количество </w:t>
      </w:r>
      <w:r>
        <w:rPr>
          <w:color w:val="000000"/>
        </w:rPr>
        <w:t>граждан</w:t>
      </w:r>
      <w:r>
        <w:rPr>
          <w:color w:val="000000"/>
        </w:rPr>
        <w:t xml:space="preserve"> РФ, относящ</w:t>
      </w:r>
      <w:r>
        <w:rPr>
          <w:color w:val="000000"/>
        </w:rPr>
        <w:t xml:space="preserve">ихся </w:t>
      </w:r>
      <w:r>
        <w:rPr>
          <w:color w:val="000000"/>
        </w:rPr>
        <w:t>к отдельным  категориям граждан</w:t>
      </w:r>
      <w:r>
        <w:rPr>
          <w:color w:val="000000"/>
        </w:rPr>
        <w:t>,</w:t>
      </w:r>
      <w:r>
        <w:rPr>
          <w:color w:val="000000"/>
        </w:rPr>
        <w:t xml:space="preserve"> в муниципальном образовании «</w:t>
      </w:r>
      <w:r>
        <w:rPr>
          <w:color w:val="000000"/>
        </w:rPr>
        <w:t>Дедовичи</w:t>
      </w:r>
      <w:r>
        <w:rPr>
          <w:color w:val="000000"/>
        </w:rPr>
        <w:t xml:space="preserve">», которые имеют право на </w:t>
      </w:r>
      <w:r>
        <w:rPr>
          <w:color w:val="000000"/>
        </w:rPr>
        <w:t>получение выплаты.</w:t>
      </w:r>
    </w:p>
    <w:p w14:paraId="6B000000">
      <w:pPr>
        <w:ind/>
        <w:jc w:val="right"/>
      </w:pPr>
    </w:p>
    <w:p w14:paraId="6C000000">
      <w:pPr>
        <w:ind w:firstLine="709" w:left="0"/>
        <w:jc w:val="center"/>
        <w:rPr>
          <w:b w:val="1"/>
          <w:color w:val="000000"/>
          <w:highlight w:val="white"/>
        </w:rPr>
      </w:pPr>
      <w:r>
        <w:rPr>
          <w:b w:val="1"/>
          <w:color w:val="000000"/>
        </w:rPr>
        <w:t xml:space="preserve">4. Методика расчета иных межбюджетных трансфертов для исполнения полномочий муниципальным районом </w:t>
      </w:r>
      <w:r>
        <w:rPr>
          <w:b w:val="1"/>
        </w:rPr>
        <w:t>по</w:t>
      </w:r>
      <w:r>
        <w:rPr>
          <w:b w:val="1"/>
        </w:rPr>
        <w:t xml:space="preserve"> организаци</w:t>
      </w:r>
      <w:r>
        <w:rPr>
          <w:b w:val="1"/>
        </w:rPr>
        <w:t>и</w:t>
      </w:r>
      <w:r>
        <w:rPr>
          <w:b w:val="1"/>
        </w:rPr>
        <w:t xml:space="preserve"> </w:t>
      </w:r>
      <w:r>
        <w:rPr>
          <w:b w:val="1"/>
          <w:color w:val="000000"/>
          <w:highlight w:val="white"/>
        </w:rPr>
        <w:t>библиотечного обслуживания населения, комплектовани</w:t>
      </w:r>
      <w:r>
        <w:rPr>
          <w:b w:val="1"/>
          <w:color w:val="000000"/>
          <w:highlight w:val="white"/>
        </w:rPr>
        <w:t>ю</w:t>
      </w:r>
      <w:r>
        <w:rPr>
          <w:b w:val="1"/>
          <w:color w:val="000000"/>
          <w:highlight w:val="white"/>
        </w:rPr>
        <w:t xml:space="preserve"> и обеспечени</w:t>
      </w:r>
      <w:r>
        <w:rPr>
          <w:b w:val="1"/>
          <w:color w:val="000000"/>
          <w:highlight w:val="white"/>
        </w:rPr>
        <w:t>ю</w:t>
      </w:r>
      <w:r>
        <w:rPr>
          <w:b w:val="1"/>
          <w:color w:val="000000"/>
          <w:highlight w:val="white"/>
        </w:rPr>
        <w:t xml:space="preserve"> сохранности библиотечных фондов библиотек поселения</w:t>
      </w:r>
    </w:p>
    <w:p w14:paraId="6D000000">
      <w:pPr>
        <w:ind w:firstLine="709" w:left="0"/>
        <w:jc w:val="center"/>
        <w:rPr>
          <w:b w:val="1"/>
          <w:color w:val="000000"/>
        </w:rPr>
      </w:pPr>
    </w:p>
    <w:p w14:paraId="6E000000">
      <w:pPr>
        <w:ind w:firstLine="709" w:left="0"/>
        <w:jc w:val="both"/>
      </w:pPr>
      <w:r>
        <w:rPr>
          <w:color w:val="000000"/>
        </w:rPr>
        <w:t xml:space="preserve">4.1. Иные межбюджетные трансферты по передаче полномочий </w:t>
      </w:r>
      <w:r>
        <w:t xml:space="preserve"> </w:t>
      </w:r>
      <w:r>
        <w:t>по организации библиотечного обслуживания населения, комплекто</w:t>
      </w:r>
      <w:r>
        <w:t xml:space="preserve">ванию и обеспечению сохранности </w:t>
      </w:r>
      <w:r>
        <w:t>библиотечных фондов библиотек поселения</w:t>
      </w:r>
      <w:r>
        <w:t xml:space="preserve"> </w:t>
      </w:r>
      <w:r>
        <w:rPr>
          <w:color w:val="000000"/>
        </w:rPr>
        <w:t xml:space="preserve">(далее – иные межбюджетные трансферты) предоставляются </w:t>
      </w:r>
      <w:r>
        <w:t xml:space="preserve">из бюджета муниципального </w:t>
      </w:r>
      <w:r>
        <w:t xml:space="preserve">образования   </w:t>
      </w:r>
      <w:r>
        <w:rPr>
          <w:rStyle w:val="Style_3_ch"/>
          <w:b w:val="0"/>
          <w:color w:val="000000"/>
        </w:rPr>
        <w:t>«</w:t>
      </w:r>
      <w:r>
        <w:rPr>
          <w:rStyle w:val="Style_3_ch"/>
          <w:b w:val="0"/>
          <w:color w:val="000000"/>
        </w:rPr>
        <w:t>Дедовичи</w:t>
      </w:r>
      <w:r>
        <w:rPr>
          <w:rStyle w:val="Style_3_ch"/>
          <w:b w:val="0"/>
          <w:color w:val="000000"/>
        </w:rPr>
        <w:t>»</w:t>
      </w:r>
      <w:r>
        <w:rPr>
          <w:rStyle w:val="Style_3_ch"/>
          <w:color w:val="000000"/>
        </w:rPr>
        <w:t xml:space="preserve"> </w:t>
      </w:r>
      <w:r>
        <w:rPr>
          <w:rStyle w:val="Style_3_ch"/>
          <w:b w:val="0"/>
          <w:color w:val="000000"/>
        </w:rPr>
        <w:t>(далее – бюджет поселения)</w:t>
      </w:r>
      <w:r>
        <w:rPr>
          <w:rStyle w:val="Style_3_ch"/>
          <w:color w:val="000000"/>
        </w:rPr>
        <w:t xml:space="preserve"> </w:t>
      </w:r>
      <w:r>
        <w:t xml:space="preserve">бюджету </w:t>
      </w:r>
      <w:r>
        <w:rPr>
          <w:rStyle w:val="Style_3_ch"/>
          <w:b w:val="0"/>
          <w:color w:val="000000"/>
        </w:rPr>
        <w:t>муниципального образования «Дедовичский район» на</w:t>
      </w:r>
      <w:r>
        <w:rPr>
          <w:color w:val="000000"/>
        </w:rPr>
        <w:t xml:space="preserve"> покрытие затрат, связанных с выполнением полномочий местного значения </w:t>
      </w:r>
      <w:r>
        <w:rPr>
          <w:color w:val="000000"/>
        </w:rPr>
        <w:t>городского</w:t>
      </w:r>
      <w:r>
        <w:rPr>
          <w:color w:val="000000"/>
        </w:rPr>
        <w:t xml:space="preserve"> поселения</w:t>
      </w:r>
      <w:r>
        <w:rPr>
          <w:color w:val="000000"/>
        </w:rPr>
        <w:t xml:space="preserve"> «Дедовичи» (на оплату труда, услуги по содержанию имущества, увеличение стоимости основных средств и материальных запасов).</w:t>
      </w:r>
    </w:p>
    <w:p w14:paraId="6F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4.2. </w:t>
      </w:r>
      <w:r>
        <w:t>Иные межбюджетные трансферты</w:t>
      </w:r>
      <w:r>
        <w:rPr>
          <w:color w:val="000000"/>
        </w:rPr>
        <w:t xml:space="preserve"> имеют строго целевое назначение и расходуются Администрацией Дедовичского района на цели, указанные в пункте 4.1 настоящей методики.</w:t>
      </w:r>
    </w:p>
    <w:p w14:paraId="70000000">
      <w:pPr>
        <w:ind w:firstLine="709" w:left="0"/>
        <w:jc w:val="both"/>
        <w:rPr>
          <w:color w:val="000000"/>
        </w:rPr>
      </w:pPr>
      <w:r>
        <w:rPr>
          <w:color w:val="000000"/>
        </w:rPr>
        <w:t>4.3. Размер иных межбюджетных трансфертов городского поселения району определяется по формуле:</w:t>
      </w:r>
    </w:p>
    <w:p w14:paraId="71000000">
      <w:pPr>
        <w:ind w:firstLine="1134" w:left="0"/>
        <w:jc w:val="both"/>
        <w:rPr>
          <w:color w:val="000000"/>
        </w:rPr>
      </w:pPr>
      <w:r>
        <w:rPr>
          <w:color w:val="000000"/>
        </w:rPr>
        <w:t>W</w:t>
      </w:r>
      <w:r>
        <w:rPr>
          <w:color w:val="000000"/>
        </w:rPr>
        <w:t>= (</w:t>
      </w:r>
      <w:r>
        <w:rPr>
          <w:color w:val="000000"/>
        </w:rPr>
        <w:t>R</w:t>
      </w:r>
      <w:r>
        <w:rPr>
          <w:color w:val="000000"/>
        </w:rPr>
        <w:t>+</w:t>
      </w:r>
      <w:r>
        <w:rPr>
          <w:color w:val="000000"/>
        </w:rPr>
        <w:t>K</w:t>
      </w:r>
      <w:r>
        <w:rPr>
          <w:color w:val="000000"/>
        </w:rPr>
        <w:t xml:space="preserve">) </w:t>
      </w:r>
      <w:r>
        <w:rPr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t>5,29 %,</w:t>
      </w:r>
    </w:p>
    <w:p w14:paraId="72000000">
      <w:pPr>
        <w:ind w:firstLine="1134" w:left="0"/>
        <w:jc w:val="both"/>
        <w:rPr>
          <w:color w:val="000000"/>
        </w:rPr>
      </w:pPr>
      <w:r>
        <w:rPr>
          <w:color w:val="000000"/>
        </w:rPr>
        <w:t xml:space="preserve"> где:</w:t>
      </w:r>
    </w:p>
    <w:p w14:paraId="73000000">
      <w:pPr>
        <w:ind w:firstLine="1134" w:left="0"/>
        <w:jc w:val="both"/>
        <w:rPr>
          <w:color w:val="000000"/>
        </w:rPr>
      </w:pPr>
      <w:r>
        <w:rPr>
          <w:color w:val="000000"/>
        </w:rPr>
        <w:t>W</w:t>
      </w:r>
      <w:r>
        <w:rPr>
          <w:color w:val="000000"/>
        </w:rPr>
        <w:t xml:space="preserve"> – объем иных межбюджетных трансфертов бюджету муниципального образования «Дедовичский район»;</w:t>
      </w:r>
    </w:p>
    <w:p w14:paraId="74000000">
      <w:pPr>
        <w:ind w:firstLine="1134" w:left="0"/>
        <w:jc w:val="both"/>
        <w:rPr>
          <w:color w:val="000000"/>
        </w:rPr>
      </w:pPr>
      <w:r>
        <w:rPr>
          <w:color w:val="000000"/>
        </w:rPr>
        <w:t>R</w:t>
      </w:r>
      <w:r>
        <w:rPr>
          <w:color w:val="000000"/>
        </w:rPr>
        <w:t xml:space="preserve"> – годовые затраты на текущие расходы (коммунальные расходы, почтовые расходы, основные средства и расходные материалы);</w:t>
      </w:r>
    </w:p>
    <w:p w14:paraId="75000000">
      <w:pPr>
        <w:ind w:firstLine="1134" w:left="0"/>
        <w:jc w:val="both"/>
        <w:rPr>
          <w:color w:val="000000"/>
        </w:rPr>
      </w:pPr>
      <w:r>
        <w:rPr>
          <w:color w:val="000000"/>
        </w:rPr>
        <w:t>K</w:t>
      </w:r>
      <w:r>
        <w:rPr>
          <w:color w:val="000000"/>
        </w:rPr>
        <w:t xml:space="preserve"> – заработная плата с начислениями за год;</w:t>
      </w:r>
    </w:p>
    <w:p w14:paraId="76000000">
      <w:pPr>
        <w:ind w:firstLine="709" w:left="0"/>
        <w:jc w:val="both"/>
        <w:rPr>
          <w:color w:val="000000"/>
        </w:rPr>
      </w:pPr>
      <w:r>
        <w:rPr>
          <w:color w:val="000000"/>
        </w:rPr>
        <w:t>4.4. При расчете иных межбюджетных трансфертов сумма округляется до целого числа.</w:t>
      </w:r>
    </w:p>
    <w:p w14:paraId="77000000">
      <w:pPr>
        <w:ind/>
        <w:jc w:val="both"/>
        <w:rPr>
          <w:color w:val="000000"/>
        </w:rPr>
      </w:pPr>
    </w:p>
    <w:p w14:paraId="78000000">
      <w:pPr>
        <w:ind/>
        <w:jc w:val="right"/>
      </w:pPr>
    </w:p>
    <w:p w14:paraId="79000000">
      <w:pPr>
        <w:ind w:firstLine="709" w:left="0"/>
        <w:jc w:val="center"/>
        <w:rPr>
          <w:b w:val="1"/>
        </w:rPr>
      </w:pPr>
      <w:r>
        <w:rPr>
          <w:b w:val="1"/>
          <w:color w:val="000000"/>
        </w:rPr>
        <w:t xml:space="preserve">5. Методика расчета иных межбюджетных трансфертов для исполнения полномочий муниципальным районом </w:t>
      </w:r>
      <w:r>
        <w:rPr>
          <w:b w:val="1"/>
        </w:rPr>
        <w:t>по созданию условий для организации досуга и обеспечения жителей поселения услугами организации культуры</w:t>
      </w:r>
    </w:p>
    <w:p w14:paraId="7A000000">
      <w:pPr>
        <w:ind w:firstLine="709" w:left="0"/>
        <w:jc w:val="center"/>
        <w:rPr>
          <w:b w:val="1"/>
          <w:color w:val="000000"/>
        </w:rPr>
      </w:pPr>
    </w:p>
    <w:p w14:paraId="7B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5.1. Иные межбюджетные трансферты по передаче полномочий </w:t>
      </w:r>
      <w:r>
        <w:t xml:space="preserve"> по созданию условий для организации досуга и обеспечения жителей поселения услугами организации культуры </w:t>
      </w:r>
      <w:r>
        <w:rPr>
          <w:color w:val="000000"/>
        </w:rPr>
        <w:t xml:space="preserve">(далее – иные межбюджетные трансферты) предоставляются </w:t>
      </w:r>
      <w:r>
        <w:t xml:space="preserve">из бюджета муниципального </w:t>
      </w:r>
      <w:r>
        <w:t xml:space="preserve">образования   </w:t>
      </w:r>
      <w:r>
        <w:rPr>
          <w:rStyle w:val="Style_3_ch"/>
          <w:b w:val="0"/>
          <w:color w:val="000000"/>
        </w:rPr>
        <w:t>«</w:t>
      </w:r>
      <w:r>
        <w:rPr>
          <w:rStyle w:val="Style_3_ch"/>
          <w:b w:val="0"/>
          <w:color w:val="000000"/>
        </w:rPr>
        <w:t>Дедовичи</w:t>
      </w:r>
      <w:r>
        <w:rPr>
          <w:rStyle w:val="Style_3_ch"/>
          <w:b w:val="0"/>
          <w:color w:val="000000"/>
        </w:rPr>
        <w:t>»</w:t>
      </w:r>
      <w:r>
        <w:rPr>
          <w:rStyle w:val="Style_3_ch"/>
          <w:color w:val="000000"/>
        </w:rPr>
        <w:t xml:space="preserve"> </w:t>
      </w:r>
      <w:r>
        <w:rPr>
          <w:rStyle w:val="Style_3_ch"/>
          <w:b w:val="0"/>
          <w:color w:val="000000"/>
        </w:rPr>
        <w:t>(далее – бюджет поселения)</w:t>
      </w:r>
      <w:r>
        <w:rPr>
          <w:rStyle w:val="Style_3_ch"/>
          <w:color w:val="000000"/>
        </w:rPr>
        <w:t xml:space="preserve"> </w:t>
      </w:r>
      <w:r>
        <w:t xml:space="preserve">бюджету </w:t>
      </w:r>
      <w:r>
        <w:rPr>
          <w:rStyle w:val="Style_3_ch"/>
          <w:b w:val="0"/>
          <w:color w:val="000000"/>
        </w:rPr>
        <w:t>муниципального образования «Дедовичский район» на</w:t>
      </w:r>
      <w:r>
        <w:rPr>
          <w:color w:val="000000"/>
        </w:rPr>
        <w:t xml:space="preserve"> покрытие затрат, связанных с выполнением полномочий местного значения </w:t>
      </w:r>
      <w:r>
        <w:rPr>
          <w:color w:val="000000"/>
        </w:rPr>
        <w:t>городского</w:t>
      </w:r>
      <w:r>
        <w:rPr>
          <w:color w:val="000000"/>
        </w:rPr>
        <w:t xml:space="preserve"> поселения</w:t>
      </w:r>
      <w:r>
        <w:rPr>
          <w:color w:val="000000"/>
        </w:rPr>
        <w:t xml:space="preserve"> «Дедовичи» (на оплату труда, услуги по содержанию имущества, увеличение стоимости основных средств и материальных запасов).</w:t>
      </w:r>
    </w:p>
    <w:p w14:paraId="7C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5.2. </w:t>
      </w:r>
      <w:r>
        <w:t>Иные межбюджетные трансферты</w:t>
      </w:r>
      <w:r>
        <w:rPr>
          <w:color w:val="000000"/>
        </w:rPr>
        <w:t xml:space="preserve"> имеют строго целевое назначение и расходуются Администрацией Дедовичского района на цели, указанные в пункте 4.1 настоящей методики.</w:t>
      </w:r>
    </w:p>
    <w:p w14:paraId="7D000000">
      <w:pPr>
        <w:ind w:firstLine="709" w:left="0"/>
        <w:jc w:val="both"/>
        <w:rPr>
          <w:color w:val="000000"/>
        </w:rPr>
      </w:pPr>
      <w:r>
        <w:rPr>
          <w:color w:val="000000"/>
        </w:rPr>
        <w:t>5.3. Размер иных межбюджетных трансфертов городского поселения району определяется по формуле:</w:t>
      </w:r>
    </w:p>
    <w:p w14:paraId="7E000000">
      <w:pPr>
        <w:ind w:firstLine="1134" w:left="0"/>
        <w:jc w:val="both"/>
        <w:rPr>
          <w:color w:val="000000"/>
        </w:rPr>
      </w:pPr>
      <w:r>
        <w:rPr>
          <w:color w:val="000000"/>
        </w:rPr>
        <w:t>W</w:t>
      </w:r>
      <w:r>
        <w:rPr>
          <w:color w:val="000000"/>
        </w:rPr>
        <w:t>= (</w:t>
      </w:r>
      <w:r>
        <w:rPr>
          <w:color w:val="000000"/>
        </w:rPr>
        <w:t>R</w:t>
      </w:r>
      <w:r>
        <w:rPr>
          <w:color w:val="000000"/>
        </w:rPr>
        <w:t>+</w:t>
      </w:r>
      <w:r>
        <w:rPr>
          <w:color w:val="000000"/>
        </w:rPr>
        <w:t>K</w:t>
      </w:r>
      <w:r>
        <w:rPr>
          <w:color w:val="000000"/>
        </w:rPr>
        <w:t xml:space="preserve">) </w:t>
      </w:r>
      <w:r>
        <w:rPr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t>1,6</w:t>
      </w:r>
      <w:r>
        <w:rPr>
          <w:color w:val="000000"/>
        </w:rPr>
        <w:t xml:space="preserve"> %,</w:t>
      </w:r>
    </w:p>
    <w:p w14:paraId="7F000000">
      <w:pPr>
        <w:ind w:firstLine="1134" w:left="0"/>
        <w:jc w:val="both"/>
        <w:rPr>
          <w:color w:val="000000"/>
        </w:rPr>
      </w:pPr>
      <w:r>
        <w:rPr>
          <w:color w:val="000000"/>
        </w:rPr>
        <w:t xml:space="preserve"> где:</w:t>
      </w:r>
    </w:p>
    <w:p w14:paraId="80000000">
      <w:pPr>
        <w:ind w:firstLine="1134" w:left="0"/>
        <w:jc w:val="both"/>
        <w:rPr>
          <w:color w:val="000000"/>
        </w:rPr>
      </w:pPr>
      <w:r>
        <w:rPr>
          <w:color w:val="000000"/>
        </w:rPr>
        <w:t>W</w:t>
      </w:r>
      <w:r>
        <w:rPr>
          <w:color w:val="000000"/>
        </w:rPr>
        <w:t xml:space="preserve"> – объем иных межбюджетных трансфертов бюджету муниципального образования «Дедовичский район»;</w:t>
      </w:r>
    </w:p>
    <w:p w14:paraId="81000000">
      <w:pPr>
        <w:ind w:firstLine="1134" w:left="0"/>
        <w:jc w:val="both"/>
        <w:rPr>
          <w:color w:val="000000"/>
        </w:rPr>
      </w:pPr>
      <w:r>
        <w:rPr>
          <w:color w:val="000000"/>
        </w:rPr>
        <w:t>R</w:t>
      </w:r>
      <w:r>
        <w:rPr>
          <w:color w:val="000000"/>
        </w:rPr>
        <w:t xml:space="preserve"> – годовые затраты на текущие расходы (коммунальные расходы, почтовые расходы, основные средства и расходные материалы);</w:t>
      </w:r>
    </w:p>
    <w:p w14:paraId="82000000">
      <w:pPr>
        <w:ind w:firstLine="1134" w:left="0"/>
        <w:jc w:val="both"/>
        <w:rPr>
          <w:color w:val="000000"/>
        </w:rPr>
      </w:pPr>
      <w:r>
        <w:rPr>
          <w:color w:val="000000"/>
        </w:rPr>
        <w:t>K</w:t>
      </w:r>
      <w:r>
        <w:rPr>
          <w:color w:val="000000"/>
        </w:rPr>
        <w:t xml:space="preserve"> – заработная плата с начислениями за год;</w:t>
      </w:r>
    </w:p>
    <w:p w14:paraId="83000000">
      <w:pPr>
        <w:ind w:firstLine="709" w:left="0"/>
        <w:jc w:val="both"/>
        <w:rPr>
          <w:color w:val="000000"/>
        </w:rPr>
      </w:pPr>
      <w:r>
        <w:rPr>
          <w:color w:val="000000"/>
        </w:rPr>
        <w:t>5.4. При расчете иных межбюджетных трансфертов сумма округляется до целого числа.</w:t>
      </w:r>
    </w:p>
    <w:p w14:paraId="84000000">
      <w:pPr>
        <w:ind/>
        <w:jc w:val="both"/>
        <w:rPr>
          <w:color w:val="000000"/>
        </w:rPr>
      </w:pPr>
    </w:p>
    <w:p w14:paraId="85000000">
      <w:pPr>
        <w:ind/>
        <w:jc w:val="right"/>
      </w:pPr>
    </w:p>
    <w:p w14:paraId="86000000">
      <w:pPr>
        <w:ind/>
        <w:jc w:val="right"/>
      </w:pPr>
    </w:p>
    <w:p w14:paraId="87000000">
      <w:pPr>
        <w:ind/>
        <w:jc w:val="right"/>
      </w:pPr>
    </w:p>
    <w:p w14:paraId="88000000">
      <w:pPr>
        <w:ind/>
        <w:jc w:val="right"/>
      </w:pPr>
    </w:p>
    <w:p w14:paraId="89000000"/>
    <w:p w14:paraId="8A000000"/>
    <w:p w14:paraId="8B000000"/>
    <w:p w14:paraId="8C000000"/>
    <w:p w14:paraId="8D000000"/>
    <w:p w14:paraId="8E000000"/>
    <w:p w14:paraId="8F000000"/>
    <w:p w14:paraId="90000000"/>
    <w:p w14:paraId="91000000"/>
    <w:p w14:paraId="92000000"/>
    <w:p w14:paraId="93000000"/>
    <w:p w14:paraId="94000000"/>
    <w:p w14:paraId="95000000"/>
    <w:p w14:paraId="96000000"/>
    <w:p w14:paraId="97000000"/>
    <w:p w14:paraId="98000000"/>
    <w:p w14:paraId="99000000"/>
    <w:p w14:paraId="9A000000"/>
    <w:p w14:paraId="9B000000"/>
    <w:p w14:paraId="9C000000"/>
    <w:p w14:paraId="9D000000"/>
    <w:p w14:paraId="9E000000"/>
    <w:p w14:paraId="9F000000"/>
    <w:p w14:paraId="A0000000"/>
    <w:p w14:paraId="A1000000"/>
    <w:p w14:paraId="A2000000"/>
    <w:p w14:paraId="A3000000"/>
    <w:p w14:paraId="A4000000"/>
    <w:p w14:paraId="A5000000"/>
    <w:p w14:paraId="A6000000"/>
    <w:p w14:paraId="A7000000"/>
    <w:p w14:paraId="A8000000"/>
    <w:p w14:paraId="A9000000"/>
    <w:p w14:paraId="AA000000"/>
    <w:p w14:paraId="AB000000"/>
    <w:p w14:paraId="AC000000"/>
    <w:p w14:paraId="AD000000"/>
    <w:sectPr>
      <w:pgSz w:h="16838" w:orient="portrait" w:w="11906"/>
      <w:pgMar w:bottom="1134" w:footer="709" w:gutter="0" w:header="709" w:left="1701" w:right="851" w:top="62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5" w:type="paragraph">
    <w:name w:val="ConsPlusNonformat"/>
    <w:link w:val="Style_5_ch"/>
    <w:pPr>
      <w:widowControl w:val="0"/>
      <w:ind/>
    </w:pPr>
  </w:style>
  <w:style w:styleId="Style_5_ch" w:type="character">
    <w:name w:val="ConsPlusNonformat"/>
    <w:link w:val="Style_5"/>
  </w:style>
  <w:style w:styleId="Style_13" w:type="paragraph">
    <w:name w:val=" Знак1"/>
    <w:basedOn w:val="Style_6"/>
    <w:link w:val="Style_13_ch"/>
    <w:pPr>
      <w:spacing w:after="160" w:line="240" w:lineRule="exact"/>
      <w:ind/>
    </w:pPr>
    <w:rPr>
      <w:rFonts w:ascii="Verdana" w:hAnsi="Verdana"/>
    </w:rPr>
  </w:style>
  <w:style w:styleId="Style_13_ch" w:type="character">
    <w:name w:val=" Знак1"/>
    <w:basedOn w:val="Style_6_ch"/>
    <w:link w:val="Style_13"/>
    <w:rPr>
      <w:rFonts w:ascii="Verdana" w:hAnsi="Verdana"/>
    </w:rPr>
  </w:style>
  <w:style w:styleId="Style_14" w:type="paragraph">
    <w:name w:val="ConsNormal"/>
    <w:link w:val="Style_14_ch"/>
    <w:pPr>
      <w:ind w:firstLine="720" w:left="0"/>
    </w:pPr>
    <w:rPr>
      <w:rFonts w:ascii="Arial" w:hAnsi="Arial"/>
    </w:rPr>
  </w:style>
  <w:style w:styleId="Style_14_ch" w:type="character">
    <w:name w:val="ConsNormal"/>
    <w:link w:val="Style_14"/>
    <w:rPr>
      <w:rFonts w:ascii="Arial" w:hAnsi="Arial"/>
    </w:rPr>
  </w:style>
  <w:style w:styleId="Style_15" w:type="paragraph">
    <w:name w:val="Основной текст (4)_"/>
    <w:basedOn w:val="Style_6"/>
    <w:link w:val="Style_15_ch"/>
    <w:pPr>
      <w:widowControl w:val="0"/>
      <w:spacing w:after="240" w:line="269" w:lineRule="exact"/>
      <w:ind/>
    </w:pPr>
    <w:rPr>
      <w:rFonts w:ascii="Segoe UI" w:hAnsi="Segoe UI"/>
      <w:b w:val="1"/>
      <w:sz w:val="19"/>
    </w:rPr>
  </w:style>
  <w:style w:styleId="Style_15_ch" w:type="character">
    <w:name w:val="Основной текст (4)_"/>
    <w:basedOn w:val="Style_6_ch"/>
    <w:link w:val="Style_15"/>
    <w:rPr>
      <w:rFonts w:ascii="Segoe UI" w:hAnsi="Segoe UI"/>
      <w:b w:val="1"/>
      <w:sz w:val="19"/>
    </w:rPr>
  </w:style>
  <w:style w:styleId="Style_1" w:type="paragraph">
    <w:name w:val="ConsPlusTitle"/>
    <w:link w:val="Style_1_ch"/>
    <w:pPr>
      <w:widowControl w:val="0"/>
      <w:ind/>
    </w:pPr>
    <w:rPr>
      <w:b w:val="1"/>
      <w:sz w:val="24"/>
    </w:rPr>
  </w:style>
  <w:style w:styleId="Style_1_ch" w:type="character">
    <w:name w:val="ConsPlusTitle"/>
    <w:link w:val="Style_1"/>
    <w:rPr>
      <w:b w:val="1"/>
      <w:sz w:val="24"/>
    </w:rPr>
  </w:style>
  <w:style w:styleId="Style_16" w:type="paragraph">
    <w:basedOn w:val="Style_6"/>
    <w:link w:val="Style_16_ch"/>
    <w:semiHidden w:val="1"/>
    <w:unhideWhenUsed w:val="1"/>
    <w:pPr>
      <w:spacing w:after="160" w:line="240" w:lineRule="exact"/>
      <w:ind/>
    </w:pPr>
    <w:rPr>
      <w:rFonts w:ascii="Verdana" w:hAnsi="Verdana"/>
    </w:rPr>
  </w:style>
  <w:style w:styleId="Style_16_ch" w:type="character">
    <w:basedOn w:val="Style_6_ch"/>
    <w:link w:val="Style_16"/>
    <w:semiHidden w:val="1"/>
    <w:unhideWhenUsed w:val="1"/>
    <w:rPr>
      <w:rFonts w:ascii="Verdana" w:hAnsi="Verdana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Normal (Web)"/>
    <w:basedOn w:val="Style_6"/>
    <w:link w:val="Style_18_ch"/>
    <w:pPr>
      <w:spacing w:after="280" w:before="280"/>
      <w:ind/>
    </w:pPr>
  </w:style>
  <w:style w:styleId="Style_18_ch" w:type="character">
    <w:name w:val="Normal (Web)"/>
    <w:basedOn w:val="Style_6_ch"/>
    <w:link w:val="Style_18"/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3" w:type="paragraph">
    <w:name w:val="Основной текст (4)_ Знак"/>
    <w:basedOn w:val="Style_6"/>
    <w:link w:val="Style_3_ch"/>
    <w:pPr>
      <w:widowControl w:val="0"/>
      <w:spacing w:after="240" w:line="269" w:lineRule="exact"/>
      <w:ind/>
    </w:pPr>
    <w:rPr>
      <w:rFonts w:ascii="Segoe UI" w:hAnsi="Segoe UI"/>
      <w:b w:val="1"/>
      <w:sz w:val="19"/>
    </w:rPr>
  </w:style>
  <w:style w:styleId="Style_3_ch" w:type="character">
    <w:name w:val="Основной текст (4)_ Знак"/>
    <w:basedOn w:val="Style_6_ch"/>
    <w:link w:val="Style_3"/>
    <w:rPr>
      <w:rFonts w:ascii="Segoe UI" w:hAnsi="Segoe UI"/>
      <w:b w:val="1"/>
      <w:sz w:val="19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formattext"/>
    <w:basedOn w:val="Style_6"/>
    <w:link w:val="Style_25_ch"/>
    <w:pPr>
      <w:spacing w:afterAutospacing="on" w:beforeAutospacing="on"/>
      <w:ind/>
    </w:pPr>
  </w:style>
  <w:style w:styleId="Style_25_ch" w:type="character">
    <w:name w:val="formattext"/>
    <w:basedOn w:val="Style_6_ch"/>
    <w:link w:val="Style_25"/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ConsTitle"/>
    <w:link w:val="Style_28_ch"/>
    <w:pPr>
      <w:widowControl w:val="0"/>
      <w:ind w:right="19772"/>
    </w:pPr>
    <w:rPr>
      <w:rFonts w:ascii="Arial" w:hAnsi="Arial"/>
      <w:b w:val="1"/>
      <w:sz w:val="16"/>
    </w:rPr>
  </w:style>
  <w:style w:styleId="Style_28_ch" w:type="character">
    <w:name w:val="ConsTitle"/>
    <w:link w:val="Style_28"/>
    <w:rPr>
      <w:rFonts w:ascii="Arial" w:hAnsi="Arial"/>
      <w:b w:val="1"/>
      <w:sz w:val="16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alloon Text"/>
    <w:basedOn w:val="Style_6"/>
    <w:link w:val="Style_30_ch"/>
    <w:rPr>
      <w:rFonts w:ascii="Tahoma" w:hAnsi="Tahoma"/>
      <w:sz w:val="16"/>
    </w:rPr>
  </w:style>
  <w:style w:styleId="Style_30_ch" w:type="character">
    <w:name w:val="Balloon Text"/>
    <w:basedOn w:val="Style_6_ch"/>
    <w:link w:val="Style_30"/>
    <w:rPr>
      <w:rFonts w:ascii="Tahoma" w:hAnsi="Tahoma"/>
      <w:sz w:val="16"/>
    </w:rPr>
  </w:style>
  <w:style w:styleId="Style_4" w:type="paragraph">
    <w:name w:val="ConsPlusNormal"/>
    <w:link w:val="Style_4_ch"/>
    <w:pPr>
      <w:widowControl w:val="0"/>
      <w:ind/>
    </w:pPr>
    <w:rPr>
      <w:sz w:val="24"/>
    </w:rPr>
  </w:style>
  <w:style w:styleId="Style_4_ch" w:type="character">
    <w:name w:val="ConsPlusNormal"/>
    <w:link w:val="Style_4"/>
    <w:rPr>
      <w:sz w:val="24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6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6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Основной текст (4)"/>
    <w:basedOn w:val="Style_6"/>
    <w:link w:val="Style_35_ch"/>
    <w:pPr>
      <w:widowControl w:val="0"/>
      <w:spacing w:after="240" w:line="269" w:lineRule="exact"/>
      <w:ind/>
    </w:pPr>
    <w:rPr>
      <w:rFonts w:ascii="Segoe UI" w:hAnsi="Segoe UI"/>
      <w:b w:val="1"/>
      <w:sz w:val="19"/>
    </w:rPr>
  </w:style>
  <w:style w:styleId="Style_35_ch" w:type="character">
    <w:name w:val="Основной текст (4)"/>
    <w:basedOn w:val="Style_6_ch"/>
    <w:link w:val="Style_35"/>
    <w:rPr>
      <w:rFonts w:ascii="Segoe UI" w:hAnsi="Segoe UI"/>
      <w:b w:val="1"/>
      <w:sz w:val="19"/>
    </w:rPr>
  </w:style>
  <w:style w:styleId="Style_2" w:type="paragraph">
    <w:name w:val="Заголовок №2"/>
    <w:basedOn w:val="Style_6"/>
    <w:link w:val="Style_2_ch"/>
    <w:pPr>
      <w:widowControl w:val="0"/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2_ch" w:type="character">
    <w:name w:val="Заголовок №2"/>
    <w:basedOn w:val="Style_6_ch"/>
    <w:link w:val="Style_2"/>
    <w:rPr>
      <w:rFonts w:ascii="Segoe UI" w:hAnsi="Segoe UI"/>
      <w:b w:val="1"/>
      <w:sz w:val="19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3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2023-12-10T10:10:27Z</dcterms:modified>
</cp:coreProperties>
</file>