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ind/>
        <w:jc w:val="center"/>
        <w:rPr>
          <w:rFonts w:ascii="Times New Roman" w:hAnsi="Times New Roman"/>
          <w:sz w:val="24"/>
        </w:rPr>
      </w:pPr>
      <w:r>
        <w:rPr>
          <w:rFonts w:ascii="Times New Roman" w:hAnsi="Times New Roman"/>
          <w:sz w:val="24"/>
        </w:rPr>
        <w:t>ПСКОВСКАЯ ОБЛАСТЬ</w:t>
      </w:r>
    </w:p>
    <w:p w14:paraId="04000000">
      <w:pPr>
        <w:ind/>
        <w:jc w:val="center"/>
        <w:rPr>
          <w:rFonts w:ascii="Times New Roman" w:hAnsi="Times New Roman"/>
          <w:sz w:val="24"/>
        </w:rPr>
      </w:pPr>
      <w:r>
        <w:rPr>
          <w:rFonts w:ascii="Times New Roman" w:hAnsi="Times New Roman"/>
          <w:sz w:val="24"/>
        </w:rPr>
        <w:t>МУНИЦИПАЛЬНОЕ ОБРАЗОВАНИЕ «ДЕДОВИЧИ»</w:t>
      </w:r>
    </w:p>
    <w:p w14:paraId="05000000">
      <w:pPr>
        <w:ind/>
        <w:jc w:val="center"/>
        <w:rPr>
          <w:rFonts w:ascii="Times New Roman" w:hAnsi="Times New Roman"/>
          <w:sz w:val="24"/>
        </w:rPr>
      </w:pPr>
      <w:r>
        <w:rPr>
          <w:rFonts w:ascii="Times New Roman" w:hAnsi="Times New Roman"/>
          <w:sz w:val="24"/>
        </w:rPr>
        <w:t>СОБРАНИЕ ДЕПУТАТОВ ГОРОДСКОГО ПОСЕЛЕНИЯ «ДЕДОВИЧИ»</w:t>
      </w:r>
    </w:p>
    <w:p w14:paraId="06000000">
      <w:pPr>
        <w:ind/>
        <w:jc w:val="center"/>
        <w:rPr>
          <w:rFonts w:ascii="Times New Roman" w:hAnsi="Times New Roman"/>
          <w:sz w:val="24"/>
        </w:rPr>
      </w:pPr>
    </w:p>
    <w:p w14:paraId="07000000">
      <w:pPr>
        <w:ind/>
        <w:jc w:val="center"/>
        <w:rPr>
          <w:rFonts w:ascii="Times New Roman" w:hAnsi="Times New Roman"/>
          <w:sz w:val="24"/>
        </w:rPr>
      </w:pPr>
      <w:r>
        <w:rPr>
          <w:rFonts w:ascii="Times New Roman" w:hAnsi="Times New Roman"/>
          <w:sz w:val="24"/>
        </w:rPr>
        <w:t>РЕШЕНИЕ</w:t>
      </w:r>
    </w:p>
    <w:p w14:paraId="08000000">
      <w:pPr>
        <w:widowControl w:val="0"/>
        <w:ind/>
        <w:rPr>
          <w:rFonts w:ascii="Times New Roman" w:hAnsi="Times New Roman"/>
          <w:sz w:val="24"/>
        </w:rPr>
      </w:pPr>
    </w:p>
    <w:p w14:paraId="09000000">
      <w:pPr>
        <w:widowControl w:val="0"/>
        <w:ind w:firstLine="0" w:left="0"/>
        <w:jc w:val="right"/>
        <w:rPr>
          <w:rFonts w:ascii="Times New Roman" w:hAnsi="Times New Roman"/>
          <w:sz w:val="24"/>
        </w:rPr>
      </w:pPr>
    </w:p>
    <w:p w14:paraId="0A000000">
      <w:pPr>
        <w:widowControl w:val="0"/>
        <w:ind w:firstLine="0" w:left="0"/>
        <w:jc w:val="left"/>
        <w:rPr>
          <w:rFonts w:ascii="Times New Roman" w:hAnsi="Times New Roman"/>
          <w:sz w:val="24"/>
        </w:rPr>
      </w:pPr>
      <w:r>
        <w:rPr>
          <w:rFonts w:ascii="Times New Roman" w:hAnsi="Times New Roman"/>
          <w:sz w:val="24"/>
        </w:rPr>
        <w:t>от 05.10.2023 №  163</w:t>
      </w:r>
    </w:p>
    <w:p w14:paraId="0B000000">
      <w:pPr>
        <w:widowControl w:val="0"/>
        <w:ind w:firstLine="0" w:left="0"/>
        <w:jc w:val="left"/>
        <w:rPr>
          <w:rFonts w:ascii="Times New Roman" w:hAnsi="Times New Roman"/>
          <w:sz w:val="24"/>
        </w:rPr>
      </w:pPr>
      <w:r>
        <w:rPr>
          <w:rFonts w:ascii="Times New Roman" w:hAnsi="Times New Roman"/>
          <w:sz w:val="24"/>
        </w:rPr>
        <w:t>(принято на 22 очередном заседании</w:t>
      </w:r>
    </w:p>
    <w:p w14:paraId="0C000000">
      <w:pPr>
        <w:widowControl w:val="0"/>
        <w:ind w:firstLine="0" w:left="0"/>
        <w:jc w:val="left"/>
        <w:rPr>
          <w:rFonts w:ascii="Times New Roman" w:hAnsi="Times New Roman"/>
          <w:sz w:val="24"/>
        </w:rPr>
      </w:pPr>
      <w:r>
        <w:rPr>
          <w:rFonts w:ascii="Times New Roman" w:hAnsi="Times New Roman"/>
          <w:sz w:val="24"/>
        </w:rPr>
        <w:t>Собрания депутатов городского поселения</w:t>
      </w:r>
    </w:p>
    <w:p w14:paraId="0D000000">
      <w:pPr>
        <w:widowControl w:val="0"/>
        <w:ind w:firstLine="0" w:left="0"/>
        <w:jc w:val="left"/>
        <w:rPr>
          <w:rFonts w:ascii="Times New Roman" w:hAnsi="Times New Roman"/>
          <w:sz w:val="24"/>
        </w:rPr>
      </w:pPr>
      <w:r>
        <w:rPr>
          <w:rFonts w:ascii="Times New Roman" w:hAnsi="Times New Roman"/>
          <w:sz w:val="24"/>
        </w:rPr>
        <w:t>«Дедовичи» четвертого созыва)</w:t>
      </w:r>
    </w:p>
    <w:p w14:paraId="0E000000">
      <w:pPr>
        <w:widowControl w:val="0"/>
        <w:ind w:firstLine="0" w:left="0"/>
        <w:jc w:val="left"/>
        <w:rPr>
          <w:rFonts w:ascii="Times New Roman" w:hAnsi="Times New Roman"/>
          <w:sz w:val="24"/>
        </w:rPr>
      </w:pPr>
      <w:r>
        <w:rPr>
          <w:rFonts w:ascii="Times New Roman" w:hAnsi="Times New Roman"/>
          <w:sz w:val="24"/>
        </w:rPr>
        <w:t>рп</w:t>
      </w:r>
      <w:r>
        <w:rPr>
          <w:rFonts w:ascii="Times New Roman" w:hAnsi="Times New Roman"/>
          <w:sz w:val="24"/>
        </w:rPr>
        <w:t>. Дедовичи</w:t>
      </w:r>
    </w:p>
    <w:p w14:paraId="0F000000">
      <w:pPr>
        <w:pStyle w:val="Style_2"/>
        <w:spacing w:line="276" w:lineRule="auto"/>
        <w:ind/>
        <w:jc w:val="center"/>
        <w:rPr>
          <w:rFonts w:ascii="Times New Roman" w:hAnsi="Times New Roman"/>
          <w:sz w:val="28"/>
        </w:rPr>
      </w:pPr>
    </w:p>
    <w:p w14:paraId="10000000">
      <w:pPr>
        <w:pStyle w:val="Style_2"/>
        <w:spacing w:line="240" w:lineRule="auto"/>
        <w:ind/>
        <w:rPr>
          <w:rFonts w:ascii="Times New Roman" w:hAnsi="Times New Roman"/>
          <w:b w:val="0"/>
          <w:sz w:val="24"/>
        </w:rPr>
      </w:pPr>
      <w:r>
        <w:rPr>
          <w:rFonts w:ascii="Times New Roman" w:hAnsi="Times New Roman"/>
          <w:b w:val="0"/>
          <w:sz w:val="24"/>
        </w:rPr>
        <w:t xml:space="preserve">О внесении изменений в  Правила </w:t>
      </w:r>
    </w:p>
    <w:p w14:paraId="11000000">
      <w:pPr>
        <w:pStyle w:val="Style_2"/>
        <w:spacing w:line="240" w:lineRule="auto"/>
        <w:ind/>
        <w:rPr>
          <w:rFonts w:ascii="Times New Roman" w:hAnsi="Times New Roman"/>
          <w:b w:val="0"/>
          <w:sz w:val="24"/>
        </w:rPr>
      </w:pPr>
      <w:r>
        <w:rPr>
          <w:rFonts w:ascii="Times New Roman" w:hAnsi="Times New Roman"/>
          <w:b w:val="0"/>
          <w:sz w:val="24"/>
        </w:rPr>
        <w:t xml:space="preserve">землепользования и застройки муниципального </w:t>
      </w:r>
    </w:p>
    <w:p w14:paraId="12000000">
      <w:pPr>
        <w:pStyle w:val="Style_2"/>
        <w:spacing w:line="240" w:lineRule="auto"/>
        <w:ind/>
        <w:rPr>
          <w:rFonts w:ascii="Times New Roman" w:hAnsi="Times New Roman"/>
          <w:b w:val="0"/>
          <w:sz w:val="24"/>
        </w:rPr>
      </w:pPr>
      <w:r>
        <w:rPr>
          <w:rFonts w:ascii="Times New Roman" w:hAnsi="Times New Roman"/>
          <w:b w:val="0"/>
          <w:sz w:val="24"/>
        </w:rPr>
        <w:t xml:space="preserve">образования  «Дедовичи», утвержденные решением </w:t>
      </w:r>
    </w:p>
    <w:p w14:paraId="13000000">
      <w:pPr>
        <w:pStyle w:val="Style_2"/>
        <w:spacing w:line="240" w:lineRule="auto"/>
        <w:ind/>
        <w:rPr>
          <w:rFonts w:ascii="Times New Roman" w:hAnsi="Times New Roman"/>
          <w:b w:val="0"/>
          <w:sz w:val="24"/>
        </w:rPr>
      </w:pPr>
      <w:r>
        <w:rPr>
          <w:rFonts w:ascii="Times New Roman" w:hAnsi="Times New Roman"/>
          <w:b w:val="0"/>
          <w:sz w:val="24"/>
        </w:rPr>
        <w:t xml:space="preserve">Собрания депутатов городского поселения «Дедовичи» </w:t>
      </w:r>
    </w:p>
    <w:p w14:paraId="14000000">
      <w:pPr>
        <w:pStyle w:val="Style_2"/>
        <w:spacing w:line="240" w:lineRule="auto"/>
        <w:ind/>
        <w:rPr>
          <w:rFonts w:ascii="Times New Roman" w:hAnsi="Times New Roman"/>
          <w:b w:val="0"/>
          <w:sz w:val="24"/>
        </w:rPr>
      </w:pPr>
      <w:r>
        <w:rPr>
          <w:rFonts w:ascii="Times New Roman" w:hAnsi="Times New Roman"/>
          <w:b w:val="0"/>
          <w:sz w:val="24"/>
        </w:rPr>
        <w:t>от 18.07.2011 № 62</w:t>
      </w:r>
    </w:p>
    <w:p w14:paraId="15000000">
      <w:pPr>
        <w:pStyle w:val="Style_3"/>
        <w:spacing w:line="240" w:lineRule="auto"/>
        <w:ind/>
        <w:jc w:val="both"/>
        <w:rPr>
          <w:rFonts w:ascii="Times New Roman" w:hAnsi="Times New Roman"/>
          <w:sz w:val="28"/>
        </w:rPr>
      </w:pPr>
    </w:p>
    <w:p w14:paraId="16000000">
      <w:pPr>
        <w:pStyle w:val="Style_4"/>
        <w:widowControl w:val="1"/>
        <w:spacing w:line="240" w:lineRule="auto"/>
        <w:ind w:firstLine="709" w:left="0"/>
        <w:contextualSpacing w:val="1"/>
      </w:pPr>
      <w:r>
        <w:t xml:space="preserve">В целях формирования </w:t>
      </w:r>
      <w:r>
        <w:rPr>
          <w:rStyle w:val="Style_5_ch"/>
        </w:rPr>
        <w:t>архитектурного облика городов  и  иных поселений Псковской области, повышения качества архитектурных проектных решений зданий и сооружений, гармоничного включения их в окружающую среду</w:t>
      </w:r>
      <w:r>
        <w:t>, в соответствии со статьями 31, 32, 33 Градостроительного кодекса Российской Федерации, с частью 5.3 и пунктом 2.1 части 6 статьи 30 Градостроительного кодекса Российской Федерации, постановлением Правительства Российской Федерации от 29.05.2023 № 857 «Об утверждении требований</w:t>
      </w:r>
      <w:r>
        <w:t xml:space="preserve">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с Уставом муниципального образования «Дедовичи» Собрание депутатов городского  поселения «Дедовичи» РЕШИЛО:</w:t>
      </w:r>
    </w:p>
    <w:p w14:paraId="17000000">
      <w:pPr>
        <w:pStyle w:val="Style_3"/>
        <w:spacing w:line="240" w:lineRule="auto"/>
        <w:ind w:firstLine="709" w:left="0"/>
        <w:jc w:val="both"/>
        <w:rPr>
          <w:rFonts w:ascii="Times New Roman" w:hAnsi="Times New Roman"/>
          <w:sz w:val="24"/>
        </w:rPr>
      </w:pPr>
      <w:r>
        <w:rPr>
          <w:rFonts w:ascii="Times New Roman" w:hAnsi="Times New Roman"/>
          <w:sz w:val="24"/>
        </w:rPr>
        <w:t>1. Внести в Правила землепользования и застройки муниципального образования «Дедовичи», утвержденные решением Собрания депутатов городского поселения «Дедовичи» от 18.07.2011 № 62 следующие изменения:</w:t>
      </w:r>
    </w:p>
    <w:p w14:paraId="18000000">
      <w:pPr>
        <w:pStyle w:val="Style_6"/>
        <w:spacing w:line="240" w:lineRule="auto"/>
        <w:ind w:firstLine="567" w:left="0"/>
        <w:jc w:val="both"/>
        <w:rPr>
          <w:b w:val="0"/>
          <w:color w:val="000000"/>
        </w:rPr>
      </w:pPr>
      <w:r>
        <w:rPr>
          <w:b w:val="0"/>
          <w:color w:val="000000"/>
        </w:rPr>
        <w:t xml:space="preserve">1.1. Статью 1. «Основные понятия, используемые в настоящих Правилах», главы </w:t>
      </w:r>
      <w:r>
        <w:rPr>
          <w:b w:val="0"/>
          <w:color w:val="000000"/>
        </w:rPr>
        <w:t>1.1.</w:t>
      </w:r>
      <w:r>
        <w:rPr>
          <w:b w:val="0"/>
          <w:color w:val="000000"/>
        </w:rPr>
        <w:t xml:space="preserve"> «Общие положения», части </w:t>
      </w:r>
      <w:r>
        <w:rPr>
          <w:b w:val="0"/>
          <w:color w:val="000000"/>
        </w:rPr>
        <w:t>1</w:t>
      </w:r>
      <w:r>
        <w:rPr>
          <w:b w:val="0"/>
          <w:color w:val="000000"/>
        </w:rPr>
        <w:t xml:space="preserve"> «Порядок применения правил землепользования и застройки  и внесения изменений</w:t>
      </w:r>
      <w:r>
        <w:rPr>
          <w:b w:val="0"/>
          <w:color w:val="000000"/>
        </w:rPr>
        <w:t xml:space="preserve"> в указанные Правила</w:t>
      </w:r>
      <w:r>
        <w:rPr>
          <w:b w:val="0"/>
          <w:color w:val="000000"/>
        </w:rPr>
        <w:t>»</w:t>
      </w:r>
      <w:r>
        <w:rPr>
          <w:b w:val="0"/>
          <w:color w:val="000000"/>
        </w:rPr>
        <w:t xml:space="preserve"> изложить</w:t>
      </w:r>
      <w:r>
        <w:rPr>
          <w:b w:val="0"/>
          <w:color w:val="000000"/>
        </w:rPr>
        <w:t xml:space="preserve"> в следующей редакции</w:t>
      </w:r>
      <w:r>
        <w:rPr>
          <w:b w:val="0"/>
          <w:color w:val="000000"/>
        </w:rPr>
        <w:t>:</w:t>
      </w:r>
    </w:p>
    <w:p w14:paraId="19000000">
      <w:pPr>
        <w:widowControl w:val="0"/>
        <w:spacing w:line="240" w:lineRule="auto"/>
        <w:ind w:firstLine="567" w:left="0"/>
        <w:rPr>
          <w:rFonts w:ascii="Times New Roman" w:hAnsi="Times New Roman"/>
          <w:b w:val="1"/>
          <w:color w:val="000000"/>
          <w:sz w:val="24"/>
        </w:rPr>
      </w:pPr>
      <w:r>
        <w:rPr>
          <w:rFonts w:ascii="Times New Roman" w:hAnsi="Times New Roman"/>
          <w:b w:val="1"/>
          <w:color w:val="000000"/>
          <w:sz w:val="24"/>
        </w:rPr>
        <w:t>«Статья 1. Основные понятия, используемые в Правилах</w:t>
      </w:r>
    </w:p>
    <w:p w14:paraId="1A000000">
      <w:pPr>
        <w:widowControl w:val="0"/>
        <w:spacing w:line="240" w:lineRule="auto"/>
        <w:ind w:firstLine="708" w:left="0"/>
        <w:rPr>
          <w:rFonts w:ascii="Times New Roman" w:hAnsi="Times New Roman"/>
          <w:color w:val="000000"/>
          <w:sz w:val="24"/>
        </w:rPr>
      </w:pPr>
      <w:r>
        <w:rPr>
          <w:rFonts w:ascii="Times New Roman" w:hAnsi="Times New Roman"/>
          <w:b w:val="1"/>
          <w:color w:val="000000"/>
          <w:sz w:val="24"/>
        </w:rPr>
        <w:t>Акт приемки</w:t>
      </w:r>
      <w:r>
        <w:rPr>
          <w:rFonts w:ascii="Times New Roman" w:hAnsi="Times New Roman"/>
          <w:color w:val="000000"/>
          <w:sz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w:t>
      </w:r>
      <w:r>
        <w:rPr>
          <w:rFonts w:ascii="Times New Roman" w:hAnsi="Times New Roman"/>
          <w:color w:val="000000"/>
          <w:sz w:val="24"/>
        </w:rPr>
        <w:t>(заказчик) принимает выполненные исполнителем (подрядчиком, генеральным подрядчиком) работы.</w:t>
      </w:r>
    </w:p>
    <w:p w14:paraId="1B000000">
      <w:pPr>
        <w:widowControl w:val="0"/>
        <w:spacing w:line="240" w:lineRule="auto"/>
        <w:ind w:firstLine="708" w:left="0"/>
        <w:rPr>
          <w:rFonts w:ascii="Times New Roman" w:hAnsi="Times New Roman"/>
          <w:color w:val="000000"/>
          <w:sz w:val="24"/>
        </w:rPr>
      </w:pPr>
      <w:r>
        <w:rPr>
          <w:rFonts w:ascii="Times New Roman" w:hAnsi="Times New Roman"/>
          <w:b w:val="1"/>
          <w:color w:val="000000"/>
          <w:sz w:val="24"/>
        </w:rPr>
        <w:t>Арендаторы земельных участков</w:t>
      </w:r>
      <w:r>
        <w:rPr>
          <w:rFonts w:ascii="Times New Roman" w:hAnsi="Times New Roman"/>
          <w:color w:val="000000"/>
          <w:sz w:val="24"/>
        </w:rPr>
        <w:t xml:space="preserve"> - лица, владеющие и пользующиеся земельными участками по договору аренды, договору субаренды.</w:t>
      </w:r>
    </w:p>
    <w:p w14:paraId="1C000000">
      <w:pPr>
        <w:pStyle w:val="Style_3"/>
        <w:spacing w:line="240" w:lineRule="auto"/>
        <w:ind w:firstLine="708" w:left="0"/>
        <w:jc w:val="both"/>
        <w:rPr>
          <w:rFonts w:ascii="Times New Roman" w:hAnsi="Times New Roman"/>
          <w:color w:val="000000"/>
          <w:sz w:val="24"/>
        </w:rPr>
      </w:pPr>
      <w:r>
        <w:rPr>
          <w:rFonts w:ascii="Times New Roman" w:hAnsi="Times New Roman"/>
          <w:b w:val="1"/>
          <w:color w:val="000000"/>
          <w:sz w:val="24"/>
        </w:rPr>
        <w:t>Архитектурно-градостроительный облик объекта капитального строительства</w:t>
      </w:r>
      <w:r>
        <w:rPr>
          <w:rFonts w:ascii="Times New Roman" w:hAnsi="Times New Roman"/>
          <w:color w:val="000000"/>
          <w:sz w:val="24"/>
        </w:rPr>
        <w:t xml:space="preserve"> – </w:t>
      </w:r>
      <w:r>
        <w:rPr>
          <w:rFonts w:ascii="Times New Roman" w:hAnsi="Times New Roman"/>
          <w:color w:val="000000"/>
          <w:sz w:val="24"/>
        </w:rPr>
        <w:t>архитектурные решения</w:t>
      </w:r>
      <w:r>
        <w:rPr>
          <w:rFonts w:ascii="Times New Roman" w:hAnsi="Times New Roman"/>
          <w:color w:val="000000"/>
          <w:sz w:val="24"/>
        </w:rPr>
        <w:t xml:space="preserve"> объекта капитального строительства, являющиеся результатом архитектурной деятельности, включающей в себя творческий процесс создания внешнего вида и пространственной организации архитектурного объекта.</w:t>
      </w:r>
    </w:p>
    <w:p w14:paraId="1D000000">
      <w:pPr>
        <w:spacing w:line="240" w:lineRule="auto"/>
        <w:ind/>
        <w:rPr>
          <w:rFonts w:ascii="Times New Roman" w:hAnsi="Times New Roman"/>
          <w:color w:val="000000"/>
          <w:sz w:val="24"/>
        </w:rPr>
      </w:pPr>
      <w:r>
        <w:rPr>
          <w:rFonts w:ascii="Times New Roman" w:hAnsi="Times New Roman"/>
          <w:b w:val="1"/>
          <w:color w:val="000000"/>
          <w:sz w:val="24"/>
        </w:rPr>
        <w:t>Архитектурно-художественная композиция</w:t>
      </w:r>
      <w:r>
        <w:rPr>
          <w:rFonts w:ascii="Times New Roman" w:hAnsi="Times New Roman"/>
          <w:color w:val="000000"/>
          <w:sz w:val="24"/>
        </w:rPr>
        <w:t xml:space="preserve"> - определенное закономерное расположение и сочетание всех внешних и внутренних элементов здания, гармонично согласованных между собой и образующих единую архитектурную форму.</w:t>
      </w:r>
    </w:p>
    <w:p w14:paraId="1E000000">
      <w:pPr>
        <w:spacing w:line="240" w:lineRule="auto"/>
        <w:ind w:firstLine="708" w:left="0"/>
        <w:rPr>
          <w:rFonts w:ascii="Times New Roman" w:hAnsi="Times New Roman"/>
          <w:color w:val="000000"/>
          <w:sz w:val="24"/>
        </w:rPr>
      </w:pPr>
      <w:r>
        <w:rPr>
          <w:rFonts w:ascii="Times New Roman" w:hAnsi="Times New Roman"/>
          <w:b w:val="1"/>
          <w:color w:val="000000"/>
          <w:sz w:val="24"/>
        </w:rPr>
        <w:t>Архитектурное решение</w:t>
      </w:r>
      <w:r>
        <w:rPr>
          <w:rFonts w:ascii="Times New Roman" w:hAnsi="Times New Roman"/>
          <w:b w:val="1"/>
          <w:color w:val="000000"/>
          <w:sz w:val="24"/>
        </w:rPr>
        <w:t xml:space="preserve"> </w:t>
      </w:r>
      <w:r>
        <w:rPr>
          <w:rFonts w:ascii="Times New Roman" w:hAnsi="Times New Roman"/>
          <w:b w:val="1"/>
          <w:color w:val="000000"/>
          <w:sz w:val="24"/>
        </w:rPr>
        <w:t>объекта капитального строительства</w:t>
      </w:r>
      <w:r>
        <w:rPr>
          <w:rFonts w:ascii="Times New Roman" w:hAnsi="Times New Roman"/>
          <w:color w:val="000000"/>
          <w:sz w:val="24"/>
        </w:rPr>
        <w:t xml:space="preserve"> </w:t>
      </w:r>
      <w:bookmarkStart w:id="1" w:name="таблица"/>
      <w:bookmarkEnd w:id="1"/>
      <w:r>
        <w:rPr>
          <w:rFonts w:ascii="Times New Roman" w:hAnsi="Times New Roman"/>
          <w:color w:val="000000"/>
          <w:sz w:val="24"/>
        </w:rPr>
        <w:t xml:space="preserve">- авторский замысел объекта с комплексным решением функциональных, конструктивных и эстетических требований к нему, а также социальных, экономических, санитарно-гигиенических, экологических, инженерно-технических аспектов, зафиксированный в архитектурной части документации для строительства (проекта) и реализуемый при строительстве. </w:t>
      </w:r>
    </w:p>
    <w:p w14:paraId="1F000000">
      <w:pPr>
        <w:spacing w:line="240" w:lineRule="auto"/>
        <w:ind/>
        <w:rPr>
          <w:rFonts w:ascii="Times New Roman" w:hAnsi="Times New Roman"/>
          <w:color w:val="000000"/>
          <w:sz w:val="24"/>
        </w:rPr>
      </w:pPr>
      <w:r>
        <w:rPr>
          <w:rFonts w:ascii="Times New Roman" w:hAnsi="Times New Roman"/>
          <w:b w:val="1"/>
          <w:color w:val="000000"/>
          <w:sz w:val="24"/>
        </w:rPr>
        <w:t>Асимметрия</w:t>
      </w:r>
      <w:r>
        <w:rPr>
          <w:rFonts w:ascii="Times New Roman" w:hAnsi="Times New Roman"/>
          <w:color w:val="000000"/>
          <w:sz w:val="24"/>
        </w:rPr>
        <w:t xml:space="preserve"> - отсутствие симметрии при связи гармоний художественного единства элементов здания.</w:t>
      </w:r>
    </w:p>
    <w:p w14:paraId="20000000">
      <w:pPr>
        <w:spacing w:line="240" w:lineRule="auto"/>
        <w:ind/>
        <w:rPr>
          <w:rFonts w:ascii="Times New Roman" w:hAnsi="Times New Roman"/>
          <w:color w:val="000000"/>
          <w:sz w:val="24"/>
        </w:rPr>
      </w:pPr>
      <w:r>
        <w:rPr>
          <w:rFonts w:ascii="Times New Roman" w:hAnsi="Times New Roman"/>
          <w:b w:val="1"/>
          <w:color w:val="000000"/>
          <w:sz w:val="24"/>
        </w:rPr>
        <w:t>Блок-секция</w:t>
      </w:r>
      <w:r>
        <w:rPr>
          <w:rFonts w:ascii="Times New Roman" w:hAnsi="Times New Roman"/>
          <w:color w:val="000000"/>
          <w:sz w:val="24"/>
        </w:rPr>
        <w:t xml:space="preserve"> - самостоятельный в конструктивном отношении объемно-планировочный элемент здания, ограниченный наружными стенами или (и) деформационными швами.</w:t>
      </w:r>
    </w:p>
    <w:p w14:paraId="21000000">
      <w:pPr>
        <w:spacing w:line="240" w:lineRule="auto"/>
        <w:ind/>
        <w:rPr>
          <w:rFonts w:ascii="Times New Roman" w:hAnsi="Times New Roman"/>
          <w:color w:val="000000"/>
          <w:sz w:val="24"/>
        </w:rPr>
      </w:pPr>
      <w:r>
        <w:rPr>
          <w:rFonts w:ascii="Times New Roman" w:hAnsi="Times New Roman"/>
          <w:b w:val="1"/>
          <w:color w:val="000000"/>
          <w:sz w:val="24"/>
        </w:rPr>
        <w:t>Вид</w:t>
      </w:r>
      <w:r>
        <w:rPr>
          <w:rFonts w:ascii="Times New Roman" w:hAnsi="Times New Roman"/>
          <w:b w:val="1"/>
          <w:color w:val="000000"/>
          <w:sz w:val="24"/>
        </w:rPr>
        <w:t xml:space="preserve"> </w:t>
      </w:r>
      <w:r>
        <w:rPr>
          <w:rFonts w:ascii="Times New Roman" w:hAnsi="Times New Roman"/>
          <w:b w:val="1"/>
          <w:color w:val="000000"/>
          <w:sz w:val="24"/>
        </w:rPr>
        <w:t>разрешенного</w:t>
      </w:r>
      <w:r>
        <w:rPr>
          <w:rFonts w:ascii="Times New Roman" w:hAnsi="Times New Roman"/>
          <w:b w:val="1"/>
          <w:color w:val="000000"/>
          <w:sz w:val="24"/>
        </w:rPr>
        <w:t xml:space="preserve"> </w:t>
      </w:r>
      <w:r>
        <w:rPr>
          <w:rFonts w:ascii="Times New Roman" w:hAnsi="Times New Roman"/>
          <w:b w:val="1"/>
          <w:color w:val="000000"/>
          <w:sz w:val="24"/>
        </w:rPr>
        <w:t>использования</w:t>
      </w:r>
      <w:r>
        <w:rPr>
          <w:rFonts w:ascii="Times New Roman" w:hAnsi="Times New Roman"/>
          <w:b w:val="1"/>
          <w:color w:val="000000"/>
          <w:sz w:val="24"/>
        </w:rPr>
        <w:t xml:space="preserve"> (ВРИ)</w:t>
      </w:r>
      <w:r>
        <w:rPr>
          <w:rFonts w:ascii="Times New Roman" w:hAnsi="Times New Roman"/>
          <w:color w:val="000000"/>
          <w:sz w:val="24"/>
        </w:rPr>
        <w:t xml:space="preserve"> – это установленное в публичном порядке допустимое функциональное </w:t>
      </w:r>
      <w:r>
        <w:rPr>
          <w:rFonts w:ascii="Times New Roman" w:hAnsi="Times New Roman"/>
          <w:color w:val="000000"/>
          <w:sz w:val="24"/>
        </w:rPr>
        <w:t>использование</w:t>
      </w:r>
      <w:r>
        <w:rPr>
          <w:rFonts w:ascii="Times New Roman" w:hAnsi="Times New Roman"/>
          <w:color w:val="000000"/>
          <w:sz w:val="24"/>
        </w:rPr>
        <w:t xml:space="preserve"> земельного участка, существующих и возводимых на нем капитальных объектов, т. е. тот </w:t>
      </w:r>
      <w:r>
        <w:rPr>
          <w:rFonts w:ascii="Times New Roman" w:hAnsi="Times New Roman"/>
          <w:color w:val="000000"/>
          <w:sz w:val="24"/>
        </w:rPr>
        <w:t>вид</w:t>
      </w:r>
      <w:r>
        <w:rPr>
          <w:rFonts w:ascii="Times New Roman" w:hAnsi="Times New Roman"/>
          <w:color w:val="000000"/>
          <w:sz w:val="24"/>
        </w:rPr>
        <w:t xml:space="preserve"> деятельности, для ведения которой может использоваться земельный участок и размещенные на нем объекты </w:t>
      </w:r>
      <w:r>
        <w:rPr>
          <w:rFonts w:ascii="Times New Roman" w:hAnsi="Times New Roman"/>
          <w:color w:val="000000"/>
          <w:sz w:val="24"/>
        </w:rPr>
        <w:t>недвижимости</w:t>
      </w:r>
      <w:r>
        <w:rPr>
          <w:rFonts w:ascii="Times New Roman" w:hAnsi="Times New Roman"/>
          <w:color w:val="000000"/>
          <w:sz w:val="24"/>
        </w:rPr>
        <w:t>.</w:t>
      </w:r>
    </w:p>
    <w:p w14:paraId="22000000">
      <w:pPr>
        <w:spacing w:line="240" w:lineRule="auto"/>
        <w:ind/>
        <w:rPr>
          <w:rFonts w:ascii="Times New Roman" w:hAnsi="Times New Roman"/>
          <w:color w:val="000000"/>
          <w:sz w:val="24"/>
        </w:rPr>
      </w:pPr>
      <w:r>
        <w:rPr>
          <w:rFonts w:ascii="Times New Roman" w:hAnsi="Times New Roman"/>
          <w:b w:val="1"/>
          <w:color w:val="000000"/>
          <w:sz w:val="24"/>
        </w:rPr>
        <w:t>Водоохранные</w:t>
      </w:r>
      <w:r>
        <w:rPr>
          <w:rFonts w:ascii="Times New Roman" w:hAnsi="Times New Roman"/>
          <w:b w:val="1"/>
          <w:color w:val="000000"/>
          <w:sz w:val="24"/>
        </w:rPr>
        <w:t xml:space="preserve"> зоны</w:t>
      </w:r>
      <w:r>
        <w:rPr>
          <w:rFonts w:ascii="Times New Roman" w:hAnsi="Times New Roman"/>
          <w:color w:val="000000"/>
          <w:sz w:val="24"/>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3000000">
      <w:pPr>
        <w:spacing w:line="240" w:lineRule="auto"/>
        <w:ind/>
        <w:rPr>
          <w:rFonts w:ascii="Times New Roman" w:hAnsi="Times New Roman"/>
          <w:color w:val="000000"/>
          <w:sz w:val="24"/>
        </w:rPr>
      </w:pPr>
      <w:r>
        <w:rPr>
          <w:rFonts w:ascii="Times New Roman" w:hAnsi="Times New Roman"/>
          <w:b w:val="1"/>
          <w:color w:val="000000"/>
          <w:sz w:val="24"/>
        </w:rPr>
        <w:t>Второстепенный фасад</w:t>
      </w:r>
      <w:r>
        <w:rPr>
          <w:rFonts w:ascii="Times New Roman" w:hAnsi="Times New Roman"/>
          <w:color w:val="000000"/>
          <w:sz w:val="24"/>
        </w:rPr>
        <w:t xml:space="preserve"> - фасад здания, не подходящий под определение главного фасада.</w:t>
      </w:r>
    </w:p>
    <w:p w14:paraId="24000000">
      <w:pPr>
        <w:spacing w:line="240" w:lineRule="auto"/>
        <w:ind/>
        <w:rPr>
          <w:rFonts w:ascii="Times New Roman" w:hAnsi="Times New Roman"/>
          <w:color w:val="000000"/>
          <w:sz w:val="24"/>
        </w:rPr>
      </w:pPr>
      <w:r>
        <w:rPr>
          <w:rFonts w:ascii="Times New Roman" w:hAnsi="Times New Roman"/>
          <w:b w:val="1"/>
          <w:color w:val="000000"/>
          <w:sz w:val="24"/>
        </w:rPr>
        <w:t>Внутридворовая территория</w:t>
      </w:r>
      <w:r>
        <w:rPr>
          <w:rFonts w:ascii="Times New Roman" w:hAnsi="Times New Roman"/>
          <w:color w:val="000000"/>
          <w:sz w:val="24"/>
        </w:rPr>
        <w:t xml:space="preserve"> - </w:t>
      </w:r>
      <w:r>
        <w:rPr>
          <w:rFonts w:ascii="Times New Roman" w:hAnsi="Times New Roman"/>
          <w:color w:val="000000"/>
          <w:sz w:val="24"/>
        </w:rPr>
        <w:t>территория</w:t>
      </w:r>
      <w:r>
        <w:rPr>
          <w:rFonts w:ascii="Times New Roman" w:hAnsi="Times New Roman"/>
          <w:color w:val="000000"/>
          <w:sz w:val="24"/>
        </w:rPr>
        <w:t xml:space="preserve">, прилегающая к жилому зданию и ограниченная жилыми зданиями, строениями, сооружениями или ограждениями, включая подходы и подъезды к дому, </w:t>
      </w:r>
      <w:r>
        <w:rPr>
          <w:rFonts w:ascii="Times New Roman" w:hAnsi="Times New Roman"/>
          <w:color w:val="000000"/>
          <w:sz w:val="24"/>
        </w:rPr>
        <w:t>территории</w:t>
      </w:r>
      <w:r>
        <w:rPr>
          <w:rFonts w:ascii="Times New Roman" w:hAnsi="Times New Roman"/>
          <w:color w:val="000000"/>
          <w:sz w:val="24"/>
        </w:rPr>
        <w:t xml:space="preserve"> зеленых насаждений, площадки для игр, отдыха и занятий спортом.</w:t>
      </w:r>
    </w:p>
    <w:p w14:paraId="25000000">
      <w:pPr>
        <w:widowControl w:val="0"/>
        <w:spacing w:line="240" w:lineRule="auto"/>
        <w:ind w:firstLine="708" w:left="0"/>
        <w:rPr>
          <w:rFonts w:ascii="Times New Roman" w:hAnsi="Times New Roman"/>
          <w:color w:val="000000"/>
          <w:sz w:val="24"/>
        </w:rPr>
      </w:pPr>
      <w:r>
        <w:rPr>
          <w:rFonts w:ascii="Times New Roman" w:hAnsi="Times New Roman"/>
          <w:b w:val="1"/>
          <w:color w:val="000000"/>
          <w:sz w:val="24"/>
        </w:rPr>
        <w:t>Высота здания, строения, сооружения</w:t>
      </w:r>
      <w:r>
        <w:rPr>
          <w:rFonts w:ascii="Times New Roman" w:hAnsi="Times New Roman"/>
          <w:color w:val="000000"/>
          <w:sz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26000000">
      <w:pPr>
        <w:spacing w:line="240" w:lineRule="auto"/>
        <w:ind/>
        <w:rPr>
          <w:rFonts w:ascii="Times New Roman" w:hAnsi="Times New Roman"/>
          <w:color w:val="000000"/>
          <w:sz w:val="24"/>
        </w:rPr>
      </w:pPr>
      <w:r>
        <w:rPr>
          <w:rFonts w:ascii="Times New Roman" w:hAnsi="Times New Roman"/>
          <w:b w:val="1"/>
          <w:color w:val="000000"/>
          <w:sz w:val="24"/>
        </w:rPr>
        <w:t>Высота этажа</w:t>
      </w:r>
      <w:r>
        <w:rPr>
          <w:rFonts w:ascii="Times New Roman" w:hAnsi="Times New Roman"/>
          <w:color w:val="000000"/>
          <w:sz w:val="24"/>
        </w:rPr>
        <w:t xml:space="preserve"> - расстояние от верха нижерасположенного перекрытия (или пола по грунту) до верха, расположенного над ним перекрытия (или до низа стропильных конструкций для одноэтажного здания).</w:t>
      </w:r>
    </w:p>
    <w:p w14:paraId="27000000">
      <w:pPr>
        <w:spacing w:line="240" w:lineRule="auto"/>
        <w:ind/>
        <w:rPr>
          <w:rFonts w:ascii="Times New Roman" w:hAnsi="Times New Roman"/>
          <w:color w:val="000000"/>
          <w:sz w:val="24"/>
        </w:rPr>
      </w:pPr>
      <w:r>
        <w:rPr>
          <w:rFonts w:ascii="Times New Roman" w:hAnsi="Times New Roman"/>
          <w:b w:val="1"/>
          <w:color w:val="000000"/>
          <w:sz w:val="24"/>
        </w:rPr>
        <w:t>Геометрическое подобие</w:t>
      </w:r>
      <w:r>
        <w:rPr>
          <w:rFonts w:ascii="Times New Roman" w:hAnsi="Times New Roman"/>
          <w:color w:val="000000"/>
          <w:sz w:val="24"/>
        </w:rPr>
        <w:t xml:space="preserve"> - создание определенных соотношений элементов здания в виде геометрических очертаний. </w:t>
      </w:r>
    </w:p>
    <w:p w14:paraId="28000000">
      <w:pPr>
        <w:spacing w:line="240" w:lineRule="auto"/>
        <w:ind/>
        <w:rPr>
          <w:rFonts w:ascii="Times New Roman" w:hAnsi="Times New Roman"/>
          <w:color w:val="000000"/>
          <w:sz w:val="24"/>
        </w:rPr>
      </w:pPr>
      <w:r>
        <w:rPr>
          <w:rFonts w:ascii="Times New Roman" w:hAnsi="Times New Roman"/>
          <w:b w:val="1"/>
          <w:color w:val="000000"/>
          <w:sz w:val="24"/>
        </w:rPr>
        <w:t>Главный фасад</w:t>
      </w:r>
      <w:r>
        <w:rPr>
          <w:rFonts w:ascii="Times New Roman" w:hAnsi="Times New Roman"/>
          <w:color w:val="000000"/>
          <w:sz w:val="24"/>
        </w:rPr>
        <w:t xml:space="preserve"> - фасад здания, выходящий на границу участка, примыкающую к территориям общего пользования. </w:t>
      </w:r>
    </w:p>
    <w:p w14:paraId="29000000">
      <w:pPr>
        <w:widowControl w:val="0"/>
        <w:spacing w:line="240" w:lineRule="auto"/>
        <w:ind w:firstLine="567" w:left="0"/>
        <w:rPr>
          <w:rFonts w:ascii="Times New Roman" w:hAnsi="Times New Roman"/>
          <w:color w:val="000000"/>
          <w:sz w:val="24"/>
        </w:rPr>
      </w:pPr>
      <w:r>
        <w:rPr>
          <w:rFonts w:ascii="Times New Roman" w:hAnsi="Times New Roman"/>
          <w:color w:val="000000"/>
          <w:sz w:val="24"/>
        </w:rPr>
        <w:t xml:space="preserve"> </w:t>
      </w:r>
      <w:r>
        <w:rPr>
          <w:rFonts w:ascii="Times New Roman" w:hAnsi="Times New Roman"/>
          <w:b w:val="1"/>
          <w:color w:val="000000"/>
          <w:sz w:val="24"/>
        </w:rPr>
        <w:t>Градостроительное зонирование</w:t>
      </w:r>
      <w:r>
        <w:rPr>
          <w:rFonts w:ascii="Times New Roman" w:hAnsi="Times New Roman"/>
          <w:color w:val="000000"/>
          <w:sz w:val="24"/>
        </w:rPr>
        <w:t xml:space="preserve"> -</w:t>
      </w:r>
      <w:r>
        <w:rPr>
          <w:rFonts w:ascii="Times New Roman" w:hAnsi="Times New Roman"/>
          <w:color w:val="000000"/>
          <w:sz w:val="24"/>
        </w:rPr>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14:paraId="2A000000">
      <w:pPr>
        <w:spacing w:line="240" w:lineRule="auto"/>
        <w:ind w:firstLine="0" w:left="0"/>
        <w:rPr>
          <w:rFonts w:ascii="Times New Roman" w:hAnsi="Times New Roman"/>
          <w:color w:val="000000"/>
          <w:sz w:val="24"/>
        </w:rPr>
      </w:pPr>
      <w:r>
        <w:rPr>
          <w:rFonts w:ascii="Times New Roman" w:hAnsi="Times New Roman"/>
          <w:color w:val="000000"/>
          <w:sz w:val="24"/>
        </w:rPr>
        <w:tab/>
      </w:r>
      <w:r>
        <w:rPr>
          <w:rFonts w:ascii="Times New Roman" w:hAnsi="Times New Roman"/>
          <w:b w:val="1"/>
          <w:color w:val="000000"/>
          <w:sz w:val="24"/>
        </w:rPr>
        <w:t>Градостроительный план земельного участка</w:t>
      </w:r>
      <w:r>
        <w:rPr>
          <w:rFonts w:ascii="Times New Roman" w:hAnsi="Times New Roman"/>
          <w:color w:val="000000"/>
          <w:sz w:val="24"/>
        </w:rPr>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2B000000">
      <w:pPr>
        <w:spacing w:line="240" w:lineRule="auto"/>
        <w:ind w:firstLine="0" w:left="0"/>
        <w:rPr>
          <w:rFonts w:ascii="Times New Roman" w:hAnsi="Times New Roman"/>
          <w:color w:val="000000"/>
          <w:sz w:val="24"/>
        </w:rPr>
      </w:pPr>
      <w:r>
        <w:rPr>
          <w:rFonts w:ascii="Times New Roman" w:hAnsi="Times New Roman"/>
          <w:color w:val="000000"/>
          <w:sz w:val="24"/>
        </w:rPr>
        <w:tab/>
      </w:r>
      <w:r>
        <w:rPr>
          <w:rFonts w:ascii="Times New Roman" w:hAnsi="Times New Roman"/>
          <w:b w:val="1"/>
          <w:color w:val="000000"/>
          <w:sz w:val="24"/>
        </w:rPr>
        <w:t>Градостроительный регламент</w:t>
      </w:r>
      <w:r>
        <w:rPr>
          <w:rFonts w:ascii="Times New Roman" w:hAnsi="Times New Roman"/>
          <w:color w:val="000000"/>
          <w:sz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r>
        <w:rPr>
          <w:rFonts w:ascii="Times New Roman" w:hAnsi="Times New Roman"/>
          <w:color w:val="000000"/>
          <w:sz w:val="24"/>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C000000">
      <w:pPr>
        <w:spacing w:line="240" w:lineRule="auto"/>
        <w:ind/>
        <w:rPr>
          <w:rFonts w:ascii="Times New Roman" w:hAnsi="Times New Roman"/>
          <w:color w:val="000000"/>
          <w:sz w:val="24"/>
        </w:rPr>
      </w:pPr>
      <w:r>
        <w:rPr>
          <w:rFonts w:ascii="Times New Roman" w:hAnsi="Times New Roman"/>
          <w:b w:val="1"/>
          <w:color w:val="000000"/>
          <w:sz w:val="24"/>
        </w:rPr>
        <w:t>Группа жилых домов</w:t>
      </w:r>
      <w:r>
        <w:rPr>
          <w:rFonts w:ascii="Times New Roman" w:hAnsi="Times New Roman"/>
          <w:color w:val="000000"/>
          <w:sz w:val="24"/>
        </w:rPr>
        <w:t xml:space="preserve"> - несколько жилых домов образующие первичную пространственную ячейку как основу композиции застройки квартала. Группа жилых домов образует пространство, играющее роль традиционного двора, который является местом игр детей, отдыха и общения взрослых и наиболее тесно связано с жилищем, являясь как бы его продолжением. </w:t>
      </w:r>
    </w:p>
    <w:p w14:paraId="2D000000">
      <w:pPr>
        <w:spacing w:line="240" w:lineRule="auto"/>
        <w:ind/>
        <w:rPr>
          <w:rFonts w:ascii="Times New Roman" w:hAnsi="Times New Roman"/>
          <w:color w:val="000000"/>
          <w:sz w:val="24"/>
        </w:rPr>
      </w:pPr>
      <w:r>
        <w:rPr>
          <w:rFonts w:ascii="Times New Roman" w:hAnsi="Times New Roman"/>
          <w:b w:val="1"/>
          <w:color w:val="000000"/>
          <w:sz w:val="24"/>
        </w:rPr>
        <w:t>Двойной фасад (</w:t>
      </w:r>
      <w:r>
        <w:rPr>
          <w:rFonts w:ascii="Times New Roman" w:hAnsi="Times New Roman"/>
          <w:b w:val="1"/>
          <w:color w:val="000000"/>
          <w:sz w:val="24"/>
        </w:rPr>
        <w:t>Фасад с двойной обшивкой)</w:t>
      </w:r>
      <w:r>
        <w:rPr>
          <w:rFonts w:ascii="Times New Roman" w:hAnsi="Times New Roman"/>
          <w:color w:val="000000"/>
          <w:sz w:val="24"/>
        </w:rPr>
        <w:t xml:space="preserve"> - система здания, состоящая из двух обшивок, или </w:t>
      </w:r>
      <w:r>
        <w:rPr>
          <w:rStyle w:val="Style_7_ch"/>
          <w:rFonts w:ascii="Times New Roman" w:hAnsi="Times New Roman"/>
          <w:color w:val="000000"/>
          <w:sz w:val="24"/>
          <w:u w:val="none"/>
        </w:rPr>
        <w:fldChar w:fldCharType="begin"/>
      </w:r>
      <w:r>
        <w:rPr>
          <w:rStyle w:val="Style_7_ch"/>
          <w:rFonts w:ascii="Times New Roman" w:hAnsi="Times New Roman"/>
          <w:color w:val="000000"/>
          <w:sz w:val="24"/>
          <w:u w:val="none"/>
        </w:rPr>
        <w:instrText>HYPERLINK "https://translated.turbopages.org/proxy_u/en-ru.ru.fd334046-64ae5213-c06973a9-74722d776562/https/en.wikipedia.org/wiki/Façade"</w:instrText>
      </w:r>
      <w:r>
        <w:rPr>
          <w:rStyle w:val="Style_7_ch"/>
          <w:rFonts w:ascii="Times New Roman" w:hAnsi="Times New Roman"/>
          <w:color w:val="000000"/>
          <w:sz w:val="24"/>
          <w:u w:val="none"/>
        </w:rPr>
        <w:fldChar w:fldCharType="separate"/>
      </w:r>
      <w:r>
        <w:rPr>
          <w:rStyle w:val="Style_7_ch"/>
          <w:rFonts w:ascii="Times New Roman" w:hAnsi="Times New Roman"/>
          <w:color w:val="000000"/>
          <w:sz w:val="24"/>
          <w:u w:val="none"/>
        </w:rPr>
        <w:t>фасадов</w:t>
      </w:r>
      <w:r>
        <w:rPr>
          <w:rStyle w:val="Style_7_ch"/>
          <w:rFonts w:ascii="Times New Roman" w:hAnsi="Times New Roman"/>
          <w:color w:val="000000"/>
          <w:sz w:val="24"/>
          <w:u w:val="none"/>
        </w:rPr>
        <w:fldChar w:fldCharType="end"/>
      </w:r>
      <w:r>
        <w:rPr>
          <w:rFonts w:ascii="Times New Roman" w:hAnsi="Times New Roman"/>
          <w:color w:val="000000"/>
          <w:sz w:val="24"/>
        </w:rPr>
        <w:t>, расположенных таким образом, что воздух проходит через промежуточную полость.</w:t>
      </w:r>
    </w:p>
    <w:p w14:paraId="2E000000">
      <w:pPr>
        <w:spacing w:line="240" w:lineRule="auto"/>
        <w:ind/>
        <w:rPr>
          <w:rFonts w:ascii="Times New Roman" w:hAnsi="Times New Roman"/>
          <w:color w:val="000000"/>
          <w:sz w:val="24"/>
        </w:rPr>
      </w:pPr>
      <w:r>
        <w:rPr>
          <w:rFonts w:ascii="Times New Roman" w:hAnsi="Times New Roman"/>
          <w:b w:val="1"/>
          <w:color w:val="000000"/>
          <w:sz w:val="24"/>
        </w:rPr>
        <w:t>Дом блокированной застройки</w:t>
      </w:r>
      <w:r>
        <w:rPr>
          <w:rFonts w:ascii="Times New Roman" w:hAnsi="Times New Roman"/>
          <w:color w:val="000000"/>
          <w:sz w:val="24"/>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2F000000">
      <w:pPr>
        <w:spacing w:line="240" w:lineRule="auto"/>
        <w:ind/>
        <w:rPr>
          <w:rFonts w:ascii="Times New Roman" w:hAnsi="Times New Roman"/>
          <w:color w:val="000000"/>
          <w:sz w:val="24"/>
        </w:rPr>
      </w:pPr>
      <w:r>
        <w:rPr>
          <w:rFonts w:ascii="Times New Roman" w:hAnsi="Times New Roman"/>
          <w:b w:val="1"/>
          <w:color w:val="000000"/>
          <w:sz w:val="24"/>
        </w:rPr>
        <w:t>Заказчик (технический заказчик)</w:t>
      </w:r>
      <w:r>
        <w:rPr>
          <w:rFonts w:ascii="Times New Roman" w:hAnsi="Times New Roman"/>
          <w:color w:val="000000"/>
          <w:sz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w:t>
      </w:r>
      <w:r>
        <w:rPr>
          <w:rFonts w:ascii="Times New Roman" w:hAnsi="Times New Roman"/>
          <w:color w:val="000000"/>
          <w:sz w:val="24"/>
        </w:rPr>
        <w:t>строительства, материалы и документы</w:t>
      </w:r>
      <w:r>
        <w:rPr>
          <w:rFonts w:ascii="Times New Roman" w:hAnsi="Times New Roman"/>
          <w:color w:val="000000"/>
          <w:sz w:val="24"/>
        </w:rPr>
        <w:t xml:space="preserve">,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r>
        <w:rPr>
          <w:rStyle w:val="Style_8_ch"/>
          <w:rFonts w:ascii="Times New Roman" w:hAnsi="Times New Roman"/>
          <w:color w:val="000000"/>
          <w:sz w:val="24"/>
          <w:u w:val="none"/>
        </w:rPr>
        <w:fldChar w:fldCharType="begin"/>
      </w:r>
      <w:r>
        <w:rPr>
          <w:rStyle w:val="Style_8_ch"/>
          <w:rFonts w:ascii="Times New Roman" w:hAnsi="Times New Roman"/>
          <w:color w:val="000000"/>
          <w:sz w:val="24"/>
          <w:u w:val="none"/>
        </w:rPr>
        <w:instrText>HYPERLINK "https://www.consultant.ru/document/cons_doc_LAW_340399/#dst100006"</w:instrText>
      </w:r>
      <w:r>
        <w:rPr>
          <w:rStyle w:val="Style_8_ch"/>
          <w:rFonts w:ascii="Times New Roman" w:hAnsi="Times New Roman"/>
          <w:color w:val="000000"/>
          <w:sz w:val="24"/>
          <w:u w:val="none"/>
        </w:rPr>
        <w:fldChar w:fldCharType="separate"/>
      </w:r>
      <w:r>
        <w:rPr>
          <w:rStyle w:val="Style_8_ch"/>
          <w:rFonts w:ascii="Times New Roman" w:hAnsi="Times New Roman"/>
          <w:color w:val="000000"/>
          <w:sz w:val="24"/>
          <w:u w:val="none"/>
        </w:rPr>
        <w:t>функции</w:t>
      </w:r>
      <w:r>
        <w:rPr>
          <w:rStyle w:val="Style_8_ch"/>
          <w:rFonts w:ascii="Times New Roman" w:hAnsi="Times New Roman"/>
          <w:color w:val="000000"/>
          <w:sz w:val="24"/>
          <w:u w:val="none"/>
        </w:rPr>
        <w:fldChar w:fldCharType="end"/>
      </w:r>
      <w:r>
        <w:rPr>
          <w:rFonts w:ascii="Times New Roman" w:hAnsi="Times New Roman"/>
          <w:color w:val="000000"/>
          <w:sz w:val="24"/>
        </w:rPr>
        <w:t xml:space="preserve">, предусмотренные законодательством о градостроительной деятельности (далее также - функции технического заказчика). </w:t>
      </w:r>
      <w:r>
        <w:rPr>
          <w:rFonts w:ascii="Times New Roman" w:hAnsi="Times New Roman"/>
          <w:color w:val="000000"/>
          <w:sz w:val="24"/>
        </w:rPr>
        <w:t xml:space="preserve">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r>
        <w:rPr>
          <w:rStyle w:val="Style_8_ch"/>
          <w:rFonts w:ascii="Times New Roman" w:hAnsi="Times New Roman"/>
          <w:color w:val="000000"/>
          <w:sz w:val="24"/>
          <w:u w:val="none"/>
        </w:rPr>
        <w:fldChar w:fldCharType="begin"/>
      </w:r>
      <w:r>
        <w:rPr>
          <w:rStyle w:val="Style_8_ch"/>
          <w:rFonts w:ascii="Times New Roman" w:hAnsi="Times New Roman"/>
          <w:color w:val="000000"/>
          <w:sz w:val="24"/>
          <w:u w:val="none"/>
        </w:rPr>
        <w:instrText>HYPERLINK "https://www.consultant.ru/document/cons_doc_LAW_449675/f651879e0acd4680a6fdc29f983536624055cbcc/#dst1676"</w:instrText>
      </w:r>
      <w:r>
        <w:rPr>
          <w:rStyle w:val="Style_8_ch"/>
          <w:rFonts w:ascii="Times New Roman" w:hAnsi="Times New Roman"/>
          <w:color w:val="000000"/>
          <w:sz w:val="24"/>
          <w:u w:val="none"/>
        </w:rPr>
        <w:fldChar w:fldCharType="separate"/>
      </w:r>
      <w:r>
        <w:rPr>
          <w:rStyle w:val="Style_8_ch"/>
          <w:rFonts w:ascii="Times New Roman" w:hAnsi="Times New Roman"/>
          <w:color w:val="000000"/>
          <w:sz w:val="24"/>
          <w:u w:val="none"/>
        </w:rPr>
        <w:t>частью 2.1 статьи 47</w:t>
      </w:r>
      <w:r>
        <w:rPr>
          <w:rStyle w:val="Style_8_ch"/>
          <w:rFonts w:ascii="Times New Roman" w:hAnsi="Times New Roman"/>
          <w:color w:val="000000"/>
          <w:sz w:val="24"/>
          <w:u w:val="none"/>
        </w:rPr>
        <w:fldChar w:fldCharType="end"/>
      </w:r>
      <w:r>
        <w:rPr>
          <w:rFonts w:ascii="Times New Roman" w:hAnsi="Times New Roman"/>
          <w:color w:val="000000"/>
          <w:sz w:val="24"/>
        </w:rPr>
        <w:t xml:space="preserve">, </w:t>
      </w:r>
      <w:r>
        <w:rPr>
          <w:rStyle w:val="Style_8_ch"/>
          <w:rFonts w:ascii="Times New Roman" w:hAnsi="Times New Roman"/>
          <w:color w:val="000000"/>
          <w:sz w:val="24"/>
          <w:u w:val="none"/>
        </w:rPr>
        <w:fldChar w:fldCharType="begin"/>
      </w:r>
      <w:r>
        <w:rPr>
          <w:rStyle w:val="Style_8_ch"/>
          <w:rFonts w:ascii="Times New Roman" w:hAnsi="Times New Roman"/>
          <w:color w:val="000000"/>
          <w:sz w:val="24"/>
          <w:u w:val="none"/>
        </w:rPr>
        <w:instrText>HYPERLINK "https://www.consultant.ru/document/cons_doc_LAW_449675/b884020ea7453099ba8bc9ca021b84982cadea7d/#dst1683"</w:instrText>
      </w:r>
      <w:r>
        <w:rPr>
          <w:rStyle w:val="Style_8_ch"/>
          <w:rFonts w:ascii="Times New Roman" w:hAnsi="Times New Roman"/>
          <w:color w:val="000000"/>
          <w:sz w:val="24"/>
          <w:u w:val="none"/>
        </w:rPr>
        <w:fldChar w:fldCharType="separate"/>
      </w:r>
      <w:r>
        <w:rPr>
          <w:rStyle w:val="Style_8_ch"/>
          <w:rFonts w:ascii="Times New Roman" w:hAnsi="Times New Roman"/>
          <w:color w:val="000000"/>
          <w:sz w:val="24"/>
          <w:u w:val="none"/>
        </w:rPr>
        <w:t>частью 4.1 статьи 48</w:t>
      </w:r>
      <w:r>
        <w:rPr>
          <w:rStyle w:val="Style_8_ch"/>
          <w:rFonts w:ascii="Times New Roman" w:hAnsi="Times New Roman"/>
          <w:color w:val="000000"/>
          <w:sz w:val="24"/>
          <w:u w:val="none"/>
        </w:rPr>
        <w:fldChar w:fldCharType="end"/>
      </w:r>
      <w:r>
        <w:rPr>
          <w:rFonts w:ascii="Times New Roman" w:hAnsi="Times New Roman"/>
          <w:color w:val="000000"/>
          <w:sz w:val="24"/>
        </w:rPr>
        <w:t xml:space="preserve">, </w:t>
      </w:r>
      <w:r>
        <w:rPr>
          <w:rStyle w:val="Style_8_ch"/>
          <w:rFonts w:ascii="Times New Roman" w:hAnsi="Times New Roman"/>
          <w:color w:val="000000"/>
          <w:sz w:val="24"/>
          <w:u w:val="none"/>
        </w:rPr>
        <w:fldChar w:fldCharType="begin"/>
      </w:r>
      <w:r>
        <w:rPr>
          <w:rStyle w:val="Style_8_ch"/>
          <w:rFonts w:ascii="Times New Roman" w:hAnsi="Times New Roman"/>
          <w:color w:val="000000"/>
          <w:sz w:val="24"/>
          <w:u w:val="none"/>
        </w:rPr>
        <w:instrText>HYPERLINK "https://www.consultant.ru/document/cons_doc_LAW_449675/df32b8231cf067c4d4e864c717eb6b398358b504/#dst1696"</w:instrText>
      </w:r>
      <w:r>
        <w:rPr>
          <w:rStyle w:val="Style_8_ch"/>
          <w:rFonts w:ascii="Times New Roman" w:hAnsi="Times New Roman"/>
          <w:color w:val="000000"/>
          <w:sz w:val="24"/>
          <w:u w:val="none"/>
        </w:rPr>
        <w:fldChar w:fldCharType="separate"/>
      </w:r>
      <w:r>
        <w:rPr>
          <w:rStyle w:val="Style_8_ch"/>
          <w:rFonts w:ascii="Times New Roman" w:hAnsi="Times New Roman"/>
          <w:color w:val="000000"/>
          <w:sz w:val="24"/>
          <w:u w:val="none"/>
        </w:rPr>
        <w:t>частями 2.1</w:t>
      </w:r>
      <w:r>
        <w:rPr>
          <w:rStyle w:val="Style_8_ch"/>
          <w:rFonts w:ascii="Times New Roman" w:hAnsi="Times New Roman"/>
          <w:color w:val="000000"/>
          <w:sz w:val="24"/>
          <w:u w:val="none"/>
        </w:rPr>
        <w:fldChar w:fldCharType="end"/>
      </w:r>
      <w:r>
        <w:rPr>
          <w:rFonts w:ascii="Times New Roman" w:hAnsi="Times New Roman"/>
          <w:color w:val="000000"/>
          <w:sz w:val="24"/>
        </w:rPr>
        <w:t xml:space="preserve"> и </w:t>
      </w:r>
      <w:r>
        <w:rPr>
          <w:rStyle w:val="Style_8_ch"/>
          <w:rFonts w:ascii="Times New Roman" w:hAnsi="Times New Roman"/>
          <w:color w:val="000000"/>
          <w:sz w:val="24"/>
          <w:u w:val="none"/>
        </w:rPr>
        <w:fldChar w:fldCharType="begin"/>
      </w:r>
      <w:r>
        <w:rPr>
          <w:rStyle w:val="Style_8_ch"/>
          <w:rFonts w:ascii="Times New Roman" w:hAnsi="Times New Roman"/>
          <w:color w:val="000000"/>
          <w:sz w:val="24"/>
          <w:u w:val="none"/>
        </w:rPr>
        <w:instrText>HYPERLINK "https://www.consultant.ru/document/cons_doc_LAW_449675/df32b8231cf067c4d4e864c717eb6b398358b504/#dst1697"</w:instrText>
      </w:r>
      <w:r>
        <w:rPr>
          <w:rStyle w:val="Style_8_ch"/>
          <w:rFonts w:ascii="Times New Roman" w:hAnsi="Times New Roman"/>
          <w:color w:val="000000"/>
          <w:sz w:val="24"/>
          <w:u w:val="none"/>
        </w:rPr>
        <w:fldChar w:fldCharType="separate"/>
      </w:r>
      <w:r>
        <w:rPr>
          <w:rStyle w:val="Style_8_ch"/>
          <w:rFonts w:ascii="Times New Roman" w:hAnsi="Times New Roman"/>
          <w:color w:val="000000"/>
          <w:sz w:val="24"/>
          <w:u w:val="none"/>
        </w:rPr>
        <w:t>2.2 статьи 52</w:t>
      </w:r>
      <w:r>
        <w:rPr>
          <w:rStyle w:val="Style_8_ch"/>
          <w:rFonts w:ascii="Times New Roman" w:hAnsi="Times New Roman"/>
          <w:color w:val="000000"/>
          <w:sz w:val="24"/>
          <w:u w:val="none"/>
        </w:rPr>
        <w:fldChar w:fldCharType="end"/>
      </w:r>
      <w:r>
        <w:rPr>
          <w:rFonts w:ascii="Times New Roman" w:hAnsi="Times New Roman"/>
          <w:color w:val="000000"/>
          <w:sz w:val="24"/>
        </w:rPr>
        <w:t xml:space="preserve">, </w:t>
      </w:r>
      <w:r>
        <w:rPr>
          <w:rStyle w:val="Style_8_ch"/>
          <w:rFonts w:ascii="Times New Roman" w:hAnsi="Times New Roman"/>
          <w:color w:val="000000"/>
          <w:sz w:val="24"/>
          <w:u w:val="none"/>
        </w:rPr>
        <w:fldChar w:fldCharType="begin"/>
      </w:r>
      <w:r>
        <w:rPr>
          <w:rStyle w:val="Style_8_ch"/>
          <w:rFonts w:ascii="Times New Roman" w:hAnsi="Times New Roman"/>
          <w:color w:val="000000"/>
          <w:sz w:val="24"/>
          <w:u w:val="none"/>
        </w:rPr>
        <w:instrText>HYPERLINK "https://www.consultant.ru/document/cons_doc_LAW_449675/00bde8c90dadbd124e5d991aea7c4c0eec011ef8/#dst2757"</w:instrText>
      </w:r>
      <w:r>
        <w:rPr>
          <w:rStyle w:val="Style_8_ch"/>
          <w:rFonts w:ascii="Times New Roman" w:hAnsi="Times New Roman"/>
          <w:color w:val="000000"/>
          <w:sz w:val="24"/>
          <w:u w:val="none"/>
        </w:rPr>
        <w:fldChar w:fldCharType="separate"/>
      </w:r>
      <w:r>
        <w:rPr>
          <w:rStyle w:val="Style_8_ch"/>
          <w:rFonts w:ascii="Times New Roman" w:hAnsi="Times New Roman"/>
          <w:color w:val="000000"/>
          <w:sz w:val="24"/>
          <w:u w:val="none"/>
        </w:rPr>
        <w:t>частями 5</w:t>
      </w:r>
      <w:r>
        <w:rPr>
          <w:rStyle w:val="Style_8_ch"/>
          <w:rFonts w:ascii="Times New Roman" w:hAnsi="Times New Roman"/>
          <w:color w:val="000000"/>
          <w:sz w:val="24"/>
          <w:u w:val="none"/>
        </w:rPr>
        <w:fldChar w:fldCharType="end"/>
      </w:r>
      <w:r>
        <w:rPr>
          <w:rFonts w:ascii="Times New Roman" w:hAnsi="Times New Roman"/>
          <w:color w:val="000000"/>
          <w:sz w:val="24"/>
        </w:rPr>
        <w:t xml:space="preserve"> и </w:t>
      </w:r>
      <w:r>
        <w:rPr>
          <w:rStyle w:val="Style_8_ch"/>
          <w:rFonts w:ascii="Times New Roman" w:hAnsi="Times New Roman"/>
          <w:color w:val="000000"/>
          <w:sz w:val="24"/>
          <w:u w:val="none"/>
        </w:rPr>
        <w:fldChar w:fldCharType="begin"/>
      </w:r>
      <w:r>
        <w:rPr>
          <w:rStyle w:val="Style_8_ch"/>
          <w:rFonts w:ascii="Times New Roman" w:hAnsi="Times New Roman"/>
          <w:color w:val="000000"/>
          <w:sz w:val="24"/>
          <w:u w:val="none"/>
        </w:rPr>
        <w:instrText>HYPERLINK "https://www.consultant.ru/document/cons_doc_LAW_449675/00bde8c90dadbd124e5d991aea7c4c0eec011ef8/#dst2758"</w:instrText>
      </w:r>
      <w:r>
        <w:rPr>
          <w:rStyle w:val="Style_8_ch"/>
          <w:rFonts w:ascii="Times New Roman" w:hAnsi="Times New Roman"/>
          <w:color w:val="000000"/>
          <w:sz w:val="24"/>
          <w:u w:val="none"/>
        </w:rPr>
        <w:fldChar w:fldCharType="separate"/>
      </w:r>
      <w:r>
        <w:rPr>
          <w:rStyle w:val="Style_8_ch"/>
          <w:rFonts w:ascii="Times New Roman" w:hAnsi="Times New Roman"/>
          <w:color w:val="000000"/>
          <w:sz w:val="24"/>
          <w:u w:val="none"/>
        </w:rPr>
        <w:t>6 статьи 55.31</w:t>
      </w:r>
      <w:r>
        <w:rPr>
          <w:rStyle w:val="Style_8_ch"/>
          <w:rFonts w:ascii="Times New Roman" w:hAnsi="Times New Roman"/>
          <w:color w:val="000000"/>
          <w:sz w:val="24"/>
          <w:u w:val="none"/>
        </w:rPr>
        <w:fldChar w:fldCharType="end"/>
      </w:r>
      <w:r>
        <w:rPr>
          <w:rFonts w:ascii="Times New Roman" w:hAnsi="Times New Roman"/>
          <w:color w:val="000000"/>
          <w:sz w:val="24"/>
        </w:rPr>
        <w:t xml:space="preserve"> Градостроительного кодекса Российской Федерации.</w:t>
      </w:r>
    </w:p>
    <w:p w14:paraId="30000000">
      <w:pPr>
        <w:spacing w:line="240" w:lineRule="auto"/>
        <w:ind w:firstLine="708" w:left="0"/>
        <w:rPr>
          <w:rFonts w:ascii="Times New Roman" w:hAnsi="Times New Roman"/>
          <w:color w:val="000000"/>
          <w:sz w:val="24"/>
        </w:rPr>
      </w:pPr>
      <w:r>
        <w:rPr>
          <w:rFonts w:ascii="Times New Roman" w:hAnsi="Times New Roman"/>
          <w:b w:val="1"/>
          <w:color w:val="000000"/>
          <w:sz w:val="24"/>
        </w:rPr>
        <w:t>Застройщик</w:t>
      </w:r>
      <w:r>
        <w:rPr>
          <w:rFonts w:ascii="Times New Roman" w:hAnsi="Times New Roman"/>
          <w:color w:val="000000"/>
          <w:sz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Pr>
          <w:rFonts w:ascii="Times New Roman" w:hAnsi="Times New Roman"/>
          <w:color w:val="000000"/>
          <w:sz w:val="24"/>
        </w:rPr>
        <w:t>Росатом</w:t>
      </w:r>
      <w:r>
        <w:rPr>
          <w:rFonts w:ascii="Times New Roman" w:hAnsi="Times New Roman"/>
          <w:color w:val="000000"/>
          <w:sz w:val="24"/>
        </w:rPr>
        <w:t>", Государственная корпорация по космической деятельности "</w:t>
      </w:r>
      <w:r>
        <w:rPr>
          <w:rFonts w:ascii="Times New Roman" w:hAnsi="Times New Roman"/>
          <w:color w:val="000000"/>
          <w:sz w:val="24"/>
        </w:rPr>
        <w:t>Роскосмос</w:t>
      </w:r>
      <w:r>
        <w:rPr>
          <w:rFonts w:ascii="Times New Roman" w:hAnsi="Times New Roman"/>
          <w:color w:val="000000"/>
          <w:sz w:val="24"/>
        </w:rPr>
        <w:t>", органы управления государственными внебюджетными фондами или органы местного самоуправления передали в случаях, установленных бюджетным</w:t>
      </w:r>
      <w:r>
        <w:rPr>
          <w:rFonts w:ascii="Times New Roman" w:hAnsi="Times New Roman"/>
          <w:color w:val="000000"/>
          <w:sz w:val="24"/>
        </w:rPr>
        <w:t xml:space="preserve"> </w:t>
      </w:r>
      <w:r>
        <w:rPr>
          <w:rFonts w:ascii="Times New Roman" w:hAnsi="Times New Roman"/>
          <w:color w:val="000000"/>
          <w:sz w:val="24"/>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r>
        <w:rPr>
          <w:rStyle w:val="Style_8_ch"/>
          <w:rFonts w:ascii="Times New Roman" w:hAnsi="Times New Roman"/>
          <w:color w:val="000000"/>
          <w:sz w:val="24"/>
          <w:u w:val="none"/>
        </w:rPr>
        <w:fldChar w:fldCharType="begin"/>
      </w:r>
      <w:r>
        <w:rPr>
          <w:rStyle w:val="Style_8_ch"/>
          <w:rFonts w:ascii="Times New Roman" w:hAnsi="Times New Roman"/>
          <w:color w:val="000000"/>
          <w:sz w:val="24"/>
          <w:u w:val="none"/>
        </w:rPr>
        <w:instrText>HYPERLINK "https://www.consultant.ru/document/cons_doc_LAW_450443/33d7a7de5fea254781bade2c452cb6f34d051a63/#dst100872"</w:instrText>
      </w:r>
      <w:r>
        <w:rPr>
          <w:rStyle w:val="Style_8_ch"/>
          <w:rFonts w:ascii="Times New Roman" w:hAnsi="Times New Roman"/>
          <w:color w:val="000000"/>
          <w:sz w:val="24"/>
          <w:u w:val="none"/>
        </w:rPr>
        <w:fldChar w:fldCharType="separate"/>
      </w:r>
      <w:r>
        <w:rPr>
          <w:rStyle w:val="Style_8_ch"/>
          <w:rFonts w:ascii="Times New Roman" w:hAnsi="Times New Roman"/>
          <w:color w:val="000000"/>
          <w:sz w:val="24"/>
          <w:u w:val="none"/>
        </w:rPr>
        <w:t>статьей 13.3</w:t>
      </w:r>
      <w:r>
        <w:rPr>
          <w:rStyle w:val="Style_8_ch"/>
          <w:rFonts w:ascii="Times New Roman" w:hAnsi="Times New Roman"/>
          <w:color w:val="000000"/>
          <w:sz w:val="24"/>
          <w:u w:val="none"/>
        </w:rPr>
        <w:fldChar w:fldCharType="end"/>
      </w:r>
      <w:r>
        <w:rPr>
          <w:rFonts w:ascii="Times New Roman" w:hAnsi="Times New Roman"/>
          <w:color w:val="000000"/>
          <w:sz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w:t>
      </w:r>
      <w:r>
        <w:rPr>
          <w:rFonts w:ascii="Times New Roman" w:hAnsi="Times New Roman"/>
          <w:color w:val="000000"/>
          <w:sz w:val="24"/>
        </w:rPr>
        <w:t xml:space="preserve">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31000000">
      <w:pPr>
        <w:widowControl w:val="0"/>
        <w:spacing w:line="240" w:lineRule="auto"/>
        <w:ind w:firstLine="708" w:left="0"/>
        <w:rPr>
          <w:rFonts w:ascii="Times New Roman" w:hAnsi="Times New Roman"/>
          <w:color w:val="000000"/>
          <w:sz w:val="24"/>
        </w:rPr>
      </w:pPr>
      <w:r>
        <w:rPr>
          <w:rFonts w:ascii="Times New Roman" w:hAnsi="Times New Roman"/>
          <w:b w:val="1"/>
          <w:color w:val="000000"/>
          <w:sz w:val="24"/>
        </w:rPr>
        <w:t>Землепользователи</w:t>
      </w:r>
      <w:r>
        <w:rPr>
          <w:rFonts w:ascii="Times New Roman" w:hAnsi="Times New Roman"/>
          <w:color w:val="000000"/>
          <w:sz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14:paraId="32000000">
      <w:pPr>
        <w:spacing w:line="240" w:lineRule="auto"/>
        <w:ind/>
        <w:rPr>
          <w:rFonts w:ascii="Times New Roman" w:hAnsi="Times New Roman"/>
          <w:color w:val="000000"/>
          <w:sz w:val="24"/>
        </w:rPr>
      </w:pPr>
      <w:r>
        <w:rPr>
          <w:rFonts w:ascii="Times New Roman" w:hAnsi="Times New Roman"/>
          <w:b w:val="1"/>
          <w:color w:val="000000"/>
          <w:sz w:val="24"/>
        </w:rPr>
        <w:t>Землевладельцы</w:t>
      </w:r>
      <w:r>
        <w:rPr>
          <w:rFonts w:ascii="Times New Roman" w:hAnsi="Times New Roman"/>
          <w:color w:val="000000"/>
          <w:sz w:val="24"/>
        </w:rPr>
        <w:t xml:space="preserve"> - лица, владеющие и пользующиеся земельными участками на праве пожизненного наследуемого владения.</w:t>
      </w:r>
    </w:p>
    <w:p w14:paraId="33000000">
      <w:pPr>
        <w:spacing w:line="240" w:lineRule="auto"/>
        <w:ind/>
        <w:rPr>
          <w:rFonts w:ascii="Times New Roman" w:hAnsi="Times New Roman"/>
          <w:color w:val="000000"/>
          <w:sz w:val="24"/>
        </w:rPr>
      </w:pPr>
      <w:r>
        <w:rPr>
          <w:rFonts w:ascii="Times New Roman" w:hAnsi="Times New Roman"/>
          <w:b w:val="1"/>
          <w:color w:val="000000"/>
          <w:sz w:val="24"/>
        </w:rPr>
        <w:t>Изменение недвижимости</w:t>
      </w:r>
      <w:r>
        <w:rPr>
          <w:rFonts w:ascii="Times New Roman" w:hAnsi="Times New Roman"/>
          <w:color w:val="000000"/>
          <w:sz w:val="24"/>
        </w:rPr>
        <w:t xml:space="preserve"> – изменение видов (вида) использования земельного участка или объектов капитального строительства на нём, а также изменение их параметров (включая изменение размеров земельного участка) при подготовке и осуществлении строительства, реконструкции или сноса существующих объектов капитального строительства.</w:t>
      </w:r>
    </w:p>
    <w:p w14:paraId="34000000">
      <w:pPr>
        <w:spacing w:line="240" w:lineRule="auto"/>
        <w:ind/>
        <w:rPr>
          <w:rFonts w:ascii="Times New Roman" w:hAnsi="Times New Roman"/>
          <w:color w:val="000000"/>
          <w:sz w:val="24"/>
        </w:rPr>
      </w:pPr>
      <w:r>
        <w:rPr>
          <w:rFonts w:ascii="Times New Roman" w:hAnsi="Times New Roman"/>
          <w:b w:val="1"/>
          <w:color w:val="000000"/>
          <w:sz w:val="24"/>
        </w:rPr>
        <w:t>Инженерная</w:t>
      </w:r>
      <w:r>
        <w:rPr>
          <w:rFonts w:ascii="Times New Roman" w:hAnsi="Times New Roman"/>
          <w:b w:val="1"/>
          <w:color w:val="000000"/>
          <w:sz w:val="24"/>
        </w:rPr>
        <w:t xml:space="preserve">, </w:t>
      </w:r>
      <w:r>
        <w:rPr>
          <w:rFonts w:ascii="Times New Roman" w:hAnsi="Times New Roman"/>
          <w:b w:val="1"/>
          <w:color w:val="000000"/>
          <w:sz w:val="24"/>
        </w:rPr>
        <w:t>транспортная</w:t>
      </w:r>
      <w:r>
        <w:rPr>
          <w:rFonts w:ascii="Times New Roman" w:hAnsi="Times New Roman"/>
          <w:b w:val="1"/>
          <w:color w:val="000000"/>
          <w:sz w:val="24"/>
        </w:rPr>
        <w:t xml:space="preserve"> </w:t>
      </w:r>
      <w:r>
        <w:rPr>
          <w:rFonts w:ascii="Times New Roman" w:hAnsi="Times New Roman"/>
          <w:b w:val="1"/>
          <w:color w:val="000000"/>
          <w:sz w:val="24"/>
        </w:rPr>
        <w:t>и</w:t>
      </w:r>
      <w:r>
        <w:rPr>
          <w:rFonts w:ascii="Times New Roman" w:hAnsi="Times New Roman"/>
          <w:b w:val="1"/>
          <w:color w:val="000000"/>
          <w:sz w:val="24"/>
        </w:rPr>
        <w:t xml:space="preserve"> </w:t>
      </w:r>
      <w:r>
        <w:rPr>
          <w:rFonts w:ascii="Times New Roman" w:hAnsi="Times New Roman"/>
          <w:b w:val="1"/>
          <w:color w:val="000000"/>
          <w:sz w:val="24"/>
        </w:rPr>
        <w:t>социальная</w:t>
      </w:r>
      <w:r>
        <w:rPr>
          <w:rFonts w:ascii="Times New Roman" w:hAnsi="Times New Roman"/>
          <w:b w:val="1"/>
          <w:color w:val="000000"/>
          <w:sz w:val="24"/>
        </w:rPr>
        <w:t xml:space="preserve"> </w:t>
      </w:r>
      <w:r>
        <w:rPr>
          <w:rFonts w:ascii="Times New Roman" w:hAnsi="Times New Roman"/>
          <w:b w:val="1"/>
          <w:color w:val="000000"/>
          <w:sz w:val="24"/>
        </w:rPr>
        <w:t>инфраструктуры</w:t>
      </w:r>
      <w:r>
        <w:rPr>
          <w:rFonts w:ascii="Times New Roman" w:hAnsi="Times New Roman"/>
          <w:color w:val="000000"/>
          <w:sz w:val="24"/>
        </w:rPr>
        <w:t xml:space="preserve"> - это комплекс сооружений и коммуникаций транспорта, связи, </w:t>
      </w:r>
      <w:r>
        <w:rPr>
          <w:rFonts w:ascii="Times New Roman" w:hAnsi="Times New Roman"/>
          <w:color w:val="000000"/>
          <w:sz w:val="24"/>
        </w:rPr>
        <w:t>инженерного</w:t>
      </w:r>
      <w:r>
        <w:rPr>
          <w:rFonts w:ascii="Times New Roman" w:hAnsi="Times New Roman"/>
          <w:color w:val="000000"/>
          <w:sz w:val="24"/>
        </w:rPr>
        <w:t xml:space="preserve"> оборудования, а также объектов </w:t>
      </w:r>
      <w:r>
        <w:rPr>
          <w:rFonts w:ascii="Times New Roman" w:hAnsi="Times New Roman"/>
          <w:color w:val="000000"/>
          <w:sz w:val="24"/>
        </w:rPr>
        <w:t>социального</w:t>
      </w:r>
      <w:r>
        <w:rPr>
          <w:rFonts w:ascii="Times New Roman" w:hAnsi="Times New Roman"/>
          <w:color w:val="000000"/>
          <w:sz w:val="24"/>
        </w:rPr>
        <w:t xml:space="preserve"> и культурно-бытового обслуживания населения, обеспечивающий устойчивое развитие и функционирование поселений и межселенных территорий.</w:t>
      </w:r>
    </w:p>
    <w:p w14:paraId="35000000">
      <w:pPr>
        <w:spacing w:line="240" w:lineRule="auto"/>
        <w:ind/>
        <w:rPr>
          <w:rFonts w:ascii="Times New Roman" w:hAnsi="Times New Roman"/>
          <w:color w:val="000000"/>
          <w:sz w:val="24"/>
        </w:rPr>
      </w:pPr>
      <w:r>
        <w:rPr>
          <w:rFonts w:ascii="Times New Roman" w:hAnsi="Times New Roman"/>
          <w:b w:val="1"/>
          <w:color w:val="000000"/>
          <w:sz w:val="24"/>
        </w:rPr>
        <w:t>Квартал</w:t>
      </w:r>
      <w:r>
        <w:rPr>
          <w:rFonts w:ascii="Times New Roman" w:hAnsi="Times New Roman"/>
          <w:color w:val="000000"/>
          <w:sz w:val="24"/>
        </w:rPr>
        <w:t xml:space="preserve"> – это элемент планировочной структуры, со всех сторон ограниченный улично-дорожной сетью. </w:t>
      </w:r>
    </w:p>
    <w:p w14:paraId="36000000">
      <w:pPr>
        <w:spacing w:line="240" w:lineRule="auto"/>
        <w:ind/>
        <w:rPr>
          <w:rFonts w:ascii="Times New Roman" w:hAnsi="Times New Roman"/>
          <w:color w:val="000000"/>
          <w:sz w:val="24"/>
        </w:rPr>
      </w:pPr>
      <w:r>
        <w:rPr>
          <w:rFonts w:ascii="Times New Roman" w:hAnsi="Times New Roman"/>
          <w:b w:val="1"/>
          <w:color w:val="000000"/>
          <w:sz w:val="24"/>
        </w:rPr>
        <w:t>Колер элемента здания</w:t>
      </w:r>
      <w:r>
        <w:rPr>
          <w:rFonts w:ascii="Times New Roman" w:hAnsi="Times New Roman"/>
          <w:color w:val="000000"/>
          <w:sz w:val="24"/>
        </w:rPr>
        <w:t xml:space="preserve"> - цвет, подобранный проектом для определенного конструктивного элемента. Колеры элементов здания вносятся в таблицу колеров, которая входит в состав проекта.</w:t>
      </w:r>
    </w:p>
    <w:p w14:paraId="37000000">
      <w:pPr>
        <w:spacing w:line="240" w:lineRule="auto"/>
        <w:ind/>
        <w:rPr>
          <w:rFonts w:ascii="Times New Roman" w:hAnsi="Times New Roman"/>
          <w:color w:val="000000"/>
          <w:sz w:val="24"/>
        </w:rPr>
      </w:pPr>
      <w:r>
        <w:rPr>
          <w:rFonts w:ascii="Times New Roman" w:hAnsi="Times New Roman"/>
          <w:b w:val="1"/>
          <w:color w:val="000000"/>
          <w:sz w:val="24"/>
        </w:rPr>
        <w:t>Комбинированная застройка</w:t>
      </w:r>
      <w:r>
        <w:rPr>
          <w:rFonts w:ascii="Times New Roman" w:hAnsi="Times New Roman"/>
          <w:color w:val="000000"/>
          <w:sz w:val="24"/>
        </w:rPr>
        <w:t xml:space="preserve"> - протяженные жилые дома группируются в виде разнообразных геометрических форм, образующих дворы различной формы и глубины в сочетании с односекционными домами большей этажности.</w:t>
      </w:r>
    </w:p>
    <w:p w14:paraId="38000000">
      <w:pPr>
        <w:spacing w:line="240" w:lineRule="auto"/>
        <w:ind w:firstLine="0" w:left="0"/>
        <w:rPr>
          <w:rFonts w:ascii="Times New Roman" w:hAnsi="Times New Roman"/>
          <w:color w:val="000000"/>
          <w:sz w:val="24"/>
        </w:rPr>
      </w:pPr>
      <w:r>
        <w:rPr>
          <w:rFonts w:ascii="Times New Roman" w:hAnsi="Times New Roman"/>
          <w:color w:val="000000"/>
          <w:sz w:val="24"/>
        </w:rPr>
        <w:tab/>
      </w:r>
      <w:r>
        <w:rPr>
          <w:rFonts w:ascii="Times New Roman" w:hAnsi="Times New Roman"/>
          <w:b w:val="1"/>
          <w:color w:val="000000"/>
          <w:sz w:val="24"/>
        </w:rPr>
        <w:t>Коэффициент застройки</w:t>
      </w:r>
      <w:r>
        <w:rPr>
          <w:rFonts w:ascii="Times New Roman" w:hAnsi="Times New Roman"/>
          <w:color w:val="000000"/>
          <w:sz w:val="24"/>
        </w:rPr>
        <w:t xml:space="preserve"> - отношение площади, занятой под зданиями и сооружениями к площади участка (квартала).</w:t>
      </w:r>
    </w:p>
    <w:p w14:paraId="39000000">
      <w:pPr>
        <w:spacing w:line="240" w:lineRule="auto"/>
        <w:ind w:firstLine="0" w:left="0"/>
        <w:rPr>
          <w:rFonts w:ascii="Times New Roman" w:hAnsi="Times New Roman"/>
          <w:color w:val="000000"/>
          <w:sz w:val="24"/>
        </w:rPr>
      </w:pPr>
      <w:r>
        <w:rPr>
          <w:rFonts w:ascii="Times New Roman" w:hAnsi="Times New Roman"/>
          <w:color w:val="000000"/>
          <w:sz w:val="24"/>
        </w:rPr>
        <w:tab/>
      </w:r>
      <w:r>
        <w:rPr>
          <w:rFonts w:ascii="Times New Roman" w:hAnsi="Times New Roman"/>
          <w:b w:val="1"/>
          <w:color w:val="000000"/>
          <w:sz w:val="24"/>
        </w:rPr>
        <w:t>Красные линии</w:t>
      </w:r>
      <w:r>
        <w:rPr>
          <w:rFonts w:ascii="Times New Roman" w:hAnsi="Times New Roman"/>
          <w:color w:val="000000"/>
          <w:sz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A000000">
      <w:pPr>
        <w:widowControl w:val="0"/>
        <w:spacing w:line="240" w:lineRule="auto"/>
        <w:ind w:firstLine="567" w:left="0"/>
        <w:rPr>
          <w:rFonts w:ascii="Times New Roman" w:hAnsi="Times New Roman"/>
          <w:color w:val="000000"/>
          <w:sz w:val="24"/>
        </w:rPr>
      </w:pPr>
      <w:r>
        <w:rPr>
          <w:rFonts w:ascii="Times New Roman" w:hAnsi="Times New Roman"/>
          <w:b w:val="1"/>
          <w:color w:val="000000"/>
          <w:sz w:val="24"/>
        </w:rPr>
        <w:tab/>
      </w:r>
      <w:r>
        <w:rPr>
          <w:rFonts w:ascii="Times New Roman" w:hAnsi="Times New Roman"/>
          <w:b w:val="1"/>
          <w:color w:val="000000"/>
          <w:sz w:val="24"/>
        </w:rPr>
        <w:t>Линии градостроительного регулирования</w:t>
      </w:r>
      <w:r>
        <w:rPr>
          <w:rFonts w:ascii="Times New Roman" w:hAnsi="Times New Roman"/>
          <w:color w:val="000000"/>
          <w:sz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r>
        <w:rPr>
          <w:rFonts w:ascii="Times New Roman" w:hAnsi="Times New Roman"/>
          <w:color w:val="000000"/>
          <w:sz w:val="24"/>
        </w:rPr>
        <w:t>водоохранных</w:t>
      </w:r>
      <w:r>
        <w:rPr>
          <w:rFonts w:ascii="Times New Roman" w:hAnsi="Times New Roman"/>
          <w:color w:val="000000"/>
          <w:sz w:val="24"/>
        </w:rPr>
        <w:t xml:space="preserve"> и иных зон ограничений использования земельных участков, зданий, строений, сооружений.</w:t>
      </w:r>
    </w:p>
    <w:p w14:paraId="3B000000">
      <w:pPr>
        <w:spacing w:line="240" w:lineRule="auto"/>
        <w:ind/>
        <w:rPr>
          <w:rFonts w:ascii="Times New Roman" w:hAnsi="Times New Roman"/>
          <w:color w:val="000000"/>
          <w:sz w:val="24"/>
        </w:rPr>
      </w:pPr>
      <w:r>
        <w:rPr>
          <w:rFonts w:ascii="Times New Roman" w:hAnsi="Times New Roman"/>
          <w:b w:val="1"/>
          <w:color w:val="000000"/>
          <w:sz w:val="24"/>
        </w:rPr>
        <w:t>Многоквартирный жилой дом</w:t>
      </w:r>
      <w:r>
        <w:rPr>
          <w:rFonts w:ascii="Times New Roman" w:hAnsi="Times New Roman"/>
          <w:color w:val="000000"/>
          <w:sz w:val="24"/>
        </w:rPr>
        <w:t xml:space="preserve"> -</w:t>
      </w:r>
      <w:r>
        <w:rPr>
          <w:rFonts w:ascii="Times New Roman" w:hAnsi="Times New Roman"/>
          <w:color w:val="000000"/>
          <w:sz w:val="24"/>
        </w:rPr>
        <w:t xml:space="preserve">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 подъезды. Многоквартирный дом обязательно содержит в себе элементы общего имущества собственников помещений в таком доме.</w:t>
      </w:r>
    </w:p>
    <w:p w14:paraId="3C000000">
      <w:pPr>
        <w:widowControl w:val="0"/>
        <w:spacing w:line="240" w:lineRule="auto"/>
        <w:ind w:firstLine="567" w:left="0"/>
        <w:rPr>
          <w:rFonts w:ascii="Times New Roman" w:hAnsi="Times New Roman"/>
          <w:color w:val="000000"/>
          <w:sz w:val="24"/>
        </w:rPr>
      </w:pPr>
      <w:r>
        <w:rPr>
          <w:rFonts w:ascii="Times New Roman" w:hAnsi="Times New Roman"/>
          <w:b w:val="1"/>
          <w:color w:val="000000"/>
          <w:sz w:val="24"/>
        </w:rPr>
        <w:t>ОАГ</w:t>
      </w:r>
      <w:r>
        <w:rPr>
          <w:rFonts w:ascii="Times New Roman" w:hAnsi="Times New Roman"/>
          <w:color w:val="000000"/>
          <w:sz w:val="24"/>
        </w:rPr>
        <w:t xml:space="preserve"> -</w:t>
      </w:r>
      <w:r>
        <w:rPr>
          <w:rFonts w:ascii="Times New Roman" w:hAnsi="Times New Roman"/>
          <w:color w:val="000000"/>
          <w:sz w:val="24"/>
        </w:rPr>
        <w:t xml:space="preserve"> орган местного самоуправления, уполномоченный в области архитектурно-градостроительной деятельности</w:t>
      </w:r>
    </w:p>
    <w:p w14:paraId="3D000000">
      <w:pPr>
        <w:spacing w:line="240" w:lineRule="auto"/>
        <w:ind w:firstLine="567" w:left="0"/>
        <w:rPr>
          <w:rFonts w:ascii="Times New Roman" w:hAnsi="Times New Roman"/>
          <w:color w:val="000000"/>
          <w:sz w:val="24"/>
        </w:rPr>
      </w:pPr>
      <w:r>
        <w:rPr>
          <w:rFonts w:ascii="Times New Roman" w:hAnsi="Times New Roman"/>
          <w:b w:val="1"/>
          <w:color w:val="000000"/>
          <w:sz w:val="24"/>
        </w:rPr>
        <w:t>Объект капитального строительства</w:t>
      </w:r>
      <w:r>
        <w:rPr>
          <w:rFonts w:ascii="Times New Roman" w:hAnsi="Times New Roman"/>
          <w:color w:val="000000"/>
          <w:sz w:val="24"/>
        </w:rPr>
        <w:t xml:space="preserve"> - </w:t>
      </w:r>
      <w:r>
        <w:rPr>
          <w:rFonts w:ascii="Times New Roman" w:hAnsi="Times New Roman"/>
          <w:color w:val="000000"/>
          <w:sz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Pr>
          <w:rFonts w:ascii="Times New Roman" w:hAnsi="Times New Roman"/>
          <w:color w:val="000000"/>
          <w:sz w:val="24"/>
        </w:rPr>
        <w:t xml:space="preserve"> </w:t>
      </w:r>
    </w:p>
    <w:p w14:paraId="3E000000">
      <w:pPr>
        <w:spacing w:line="240" w:lineRule="auto"/>
        <w:ind w:firstLine="567" w:left="0"/>
        <w:rPr>
          <w:rFonts w:ascii="Times New Roman" w:hAnsi="Times New Roman"/>
          <w:color w:val="000000"/>
          <w:sz w:val="24"/>
        </w:rPr>
      </w:pPr>
      <w:r>
        <w:rPr>
          <w:rFonts w:ascii="Times New Roman" w:hAnsi="Times New Roman"/>
          <w:b w:val="1"/>
          <w:color w:val="000000"/>
          <w:sz w:val="24"/>
        </w:rPr>
        <w:t>Объемно-планировочное решение здания</w:t>
      </w:r>
      <w:r>
        <w:rPr>
          <w:rFonts w:ascii="Times New Roman" w:hAnsi="Times New Roman"/>
          <w:color w:val="000000"/>
          <w:sz w:val="24"/>
        </w:rPr>
        <w:t xml:space="preserve"> </w:t>
      </w:r>
      <w:r>
        <w:rPr>
          <w:rFonts w:ascii="Times New Roman" w:hAnsi="Times New Roman"/>
          <w:color w:val="000000"/>
          <w:sz w:val="24"/>
        </w:rPr>
        <w:t>- решение поэтажных планов, где взаимоувязаны габариты и форма помещений в плане и в общем объеме здания.</w:t>
      </w:r>
    </w:p>
    <w:p w14:paraId="3F000000">
      <w:pPr>
        <w:widowControl w:val="0"/>
        <w:spacing w:line="240" w:lineRule="auto"/>
        <w:ind w:firstLine="567" w:left="0"/>
        <w:rPr>
          <w:rFonts w:ascii="Times New Roman" w:hAnsi="Times New Roman"/>
          <w:color w:val="000000"/>
          <w:sz w:val="24"/>
        </w:rPr>
      </w:pPr>
      <w:r>
        <w:rPr>
          <w:rFonts w:ascii="Times New Roman" w:hAnsi="Times New Roman"/>
          <w:b w:val="1"/>
          <w:color w:val="000000"/>
          <w:sz w:val="24"/>
        </w:rPr>
        <w:t>Отклонения от Правил</w:t>
      </w:r>
      <w:r>
        <w:rPr>
          <w:rFonts w:ascii="Times New Roman" w:hAnsi="Times New Roman"/>
          <w:color w:val="000000"/>
          <w:sz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14:paraId="40000000">
      <w:pPr>
        <w:spacing w:line="240" w:lineRule="auto"/>
        <w:ind w:firstLine="708" w:left="0"/>
        <w:rPr>
          <w:rFonts w:ascii="Times New Roman" w:hAnsi="Times New Roman"/>
          <w:color w:val="000000"/>
          <w:sz w:val="24"/>
        </w:rPr>
      </w:pPr>
      <w:r>
        <w:rPr>
          <w:rFonts w:ascii="Times New Roman" w:hAnsi="Times New Roman"/>
          <w:b w:val="1"/>
          <w:color w:val="000000"/>
          <w:sz w:val="24"/>
        </w:rPr>
        <w:t>Отметка входной группы</w:t>
      </w:r>
      <w:r>
        <w:rPr>
          <w:rFonts w:ascii="Times New Roman" w:hAnsi="Times New Roman"/>
          <w:color w:val="000000"/>
          <w:sz w:val="24"/>
        </w:rPr>
        <w:t xml:space="preserve"> - разница в метрах между отметкой уровня земли, примыкающей к зданию, строению, сооружению и чистовой отметки отделки пола на входе в первый этаж здания, строения, сооружения.</w:t>
      </w:r>
    </w:p>
    <w:p w14:paraId="41000000">
      <w:pPr>
        <w:spacing w:line="240" w:lineRule="auto"/>
        <w:ind/>
        <w:rPr>
          <w:rFonts w:ascii="Times New Roman" w:hAnsi="Times New Roman"/>
          <w:color w:val="000000"/>
          <w:sz w:val="24"/>
        </w:rPr>
      </w:pPr>
      <w:r>
        <w:rPr>
          <w:rFonts w:ascii="Times New Roman" w:hAnsi="Times New Roman"/>
          <w:b w:val="1"/>
          <w:color w:val="000000"/>
          <w:sz w:val="24"/>
        </w:rPr>
        <w:t>Первый этаж</w:t>
      </w:r>
      <w:r>
        <w:rPr>
          <w:rFonts w:ascii="Times New Roman" w:hAnsi="Times New Roman"/>
          <w:color w:val="000000"/>
          <w:sz w:val="24"/>
        </w:rPr>
        <w:t xml:space="preserve"> - нижний надземный этаж, доступный для входа с прилегающей территории.</w:t>
      </w:r>
    </w:p>
    <w:p w14:paraId="42000000">
      <w:pPr>
        <w:spacing w:line="240" w:lineRule="auto"/>
        <w:ind/>
        <w:rPr>
          <w:rFonts w:ascii="Times New Roman" w:hAnsi="Times New Roman"/>
          <w:color w:val="000000"/>
          <w:sz w:val="24"/>
        </w:rPr>
      </w:pPr>
      <w:r>
        <w:rPr>
          <w:rFonts w:ascii="Times New Roman" w:hAnsi="Times New Roman"/>
          <w:b w:val="1"/>
          <w:color w:val="000000"/>
          <w:sz w:val="24"/>
        </w:rPr>
        <w:t>Периметральная застройка</w:t>
      </w:r>
      <w:r>
        <w:rPr>
          <w:rFonts w:ascii="Times New Roman" w:hAnsi="Times New Roman"/>
          <w:color w:val="000000"/>
          <w:sz w:val="24"/>
        </w:rPr>
        <w:t xml:space="preserve"> - дворовые пространства из замкнутых или частично замкнутых протяженных многосекционных жилых домов. Минимальные размеры двора </w:t>
      </w:r>
      <w:r>
        <w:rPr>
          <w:rFonts w:ascii="Times New Roman" w:hAnsi="Times New Roman"/>
          <w:color w:val="000000"/>
          <w:sz w:val="24"/>
        </w:rPr>
        <w:t>устанавливают с учетом инсоляционных  разрывов между домами, стоящими напротив друг друга.</w:t>
      </w:r>
    </w:p>
    <w:p w14:paraId="43000000">
      <w:pPr>
        <w:spacing w:line="240" w:lineRule="auto"/>
        <w:ind/>
        <w:rPr>
          <w:rFonts w:ascii="Times New Roman" w:hAnsi="Times New Roman"/>
          <w:color w:val="000000"/>
          <w:sz w:val="24"/>
        </w:rPr>
      </w:pPr>
      <w:r>
        <w:rPr>
          <w:rFonts w:ascii="Times New Roman" w:hAnsi="Times New Roman"/>
          <w:b w:val="1"/>
          <w:color w:val="000000"/>
          <w:sz w:val="24"/>
        </w:rPr>
        <w:t>Планировочная структура</w:t>
      </w:r>
      <w:r>
        <w:rPr>
          <w:rFonts w:ascii="Times New Roman" w:hAnsi="Times New Roman"/>
          <w:color w:val="000000"/>
          <w:sz w:val="24"/>
        </w:rPr>
        <w:t xml:space="preserve"> - </w:t>
      </w:r>
      <w:r>
        <w:rPr>
          <w:rFonts w:ascii="Times New Roman" w:hAnsi="Times New Roman"/>
          <w:color w:val="000000"/>
          <w:sz w:val="24"/>
        </w:rPr>
        <w:t>тип организации пространства города, определяющий порядок размещения его улиц и зданий</w:t>
      </w:r>
      <w:r>
        <w:rPr>
          <w:rFonts w:ascii="Times New Roman" w:hAnsi="Times New Roman"/>
          <w:color w:val="000000"/>
          <w:sz w:val="24"/>
        </w:rPr>
        <w:t>.</w:t>
      </w:r>
    </w:p>
    <w:p w14:paraId="44000000">
      <w:pPr>
        <w:spacing w:line="240" w:lineRule="auto"/>
        <w:ind/>
        <w:rPr>
          <w:rFonts w:ascii="Times New Roman" w:hAnsi="Times New Roman"/>
          <w:color w:val="000000"/>
          <w:sz w:val="24"/>
        </w:rPr>
      </w:pPr>
      <w:r>
        <w:rPr>
          <w:rFonts w:ascii="Times New Roman" w:hAnsi="Times New Roman"/>
          <w:b w:val="1"/>
          <w:color w:val="000000"/>
          <w:sz w:val="24"/>
        </w:rPr>
        <w:t xml:space="preserve">Пластика фасадов (архитектурная </w:t>
      </w:r>
      <w:r>
        <w:rPr>
          <w:rFonts w:ascii="Times New Roman" w:hAnsi="Times New Roman"/>
          <w:b w:val="1"/>
          <w:color w:val="000000"/>
          <w:sz w:val="24"/>
        </w:rPr>
        <w:t>пластика)</w:t>
      </w:r>
      <w:r>
        <w:rPr>
          <w:rFonts w:ascii="Times New Roman" w:hAnsi="Times New Roman"/>
          <w:color w:val="000000"/>
          <w:sz w:val="24"/>
        </w:rPr>
        <w:t xml:space="preserve"> -</w:t>
      </w:r>
      <w:r>
        <w:rPr>
          <w:rFonts w:ascii="Times New Roman" w:hAnsi="Times New Roman"/>
          <w:color w:val="000000"/>
          <w:sz w:val="24"/>
        </w:rPr>
        <w:t xml:space="preserve"> совокупность всех пластических средств, формирующих пространство, участвующих в создании художественного образа здания.</w:t>
      </w:r>
    </w:p>
    <w:p w14:paraId="45000000">
      <w:pPr>
        <w:widowControl w:val="0"/>
        <w:spacing w:line="240" w:lineRule="auto"/>
        <w:ind w:firstLine="708" w:left="0"/>
        <w:rPr>
          <w:rFonts w:ascii="Times New Roman" w:hAnsi="Times New Roman"/>
          <w:color w:val="000000"/>
          <w:sz w:val="24"/>
        </w:rPr>
      </w:pPr>
      <w:r>
        <w:rPr>
          <w:rFonts w:ascii="Times New Roman" w:hAnsi="Times New Roman"/>
          <w:b w:val="1"/>
          <w:color w:val="000000"/>
          <w:sz w:val="24"/>
        </w:rPr>
        <w:t>Подрядчик</w:t>
      </w:r>
      <w:r>
        <w:rPr>
          <w:rFonts w:ascii="Times New Roman" w:hAnsi="Times New Roman"/>
          <w:color w:val="000000"/>
          <w:sz w:val="24"/>
        </w:rPr>
        <w:t xml:space="preserve"> - </w:t>
      </w:r>
      <w:r>
        <w:rPr>
          <w:rFonts w:ascii="Times New Roman" w:hAnsi="Times New Roman"/>
          <w:color w:val="000000"/>
          <w:sz w:val="24"/>
        </w:rPr>
        <w:t>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46000000">
      <w:pPr>
        <w:spacing w:line="240" w:lineRule="auto"/>
        <w:ind/>
        <w:rPr>
          <w:rFonts w:ascii="Times New Roman" w:hAnsi="Times New Roman"/>
          <w:color w:val="000000"/>
          <w:sz w:val="24"/>
        </w:rPr>
      </w:pPr>
      <w:r>
        <w:rPr>
          <w:rFonts w:ascii="Times New Roman" w:hAnsi="Times New Roman"/>
          <w:b w:val="1"/>
          <w:color w:val="000000"/>
          <w:sz w:val="24"/>
        </w:rPr>
        <w:t>Прибрежная защитная полоса</w:t>
      </w:r>
      <w:r>
        <w:rPr>
          <w:rFonts w:ascii="Times New Roman" w:hAnsi="Times New Roman"/>
          <w:color w:val="000000"/>
          <w:sz w:val="24"/>
        </w:rPr>
        <w:t xml:space="preserve"> - часть </w:t>
      </w:r>
      <w:r>
        <w:rPr>
          <w:rFonts w:ascii="Times New Roman" w:hAnsi="Times New Roman"/>
          <w:color w:val="000000"/>
          <w:sz w:val="24"/>
        </w:rPr>
        <w:t>водоохранной</w:t>
      </w:r>
      <w:r>
        <w:rPr>
          <w:rFonts w:ascii="Times New Roman" w:hAnsi="Times New Roman"/>
          <w:color w:val="000000"/>
          <w:sz w:val="24"/>
        </w:rPr>
        <w:t xml:space="preserve"> зоны, непосредственно примыкающая к поверхностному водному объекту, на которой устанавливаются более строгие требования к осуществлению хозяйственной и иной деятельности, чем на остальной территории </w:t>
      </w:r>
      <w:r>
        <w:rPr>
          <w:rFonts w:ascii="Times New Roman" w:hAnsi="Times New Roman"/>
          <w:color w:val="000000"/>
          <w:sz w:val="24"/>
        </w:rPr>
        <w:t>водоохранной</w:t>
      </w:r>
      <w:r>
        <w:rPr>
          <w:rFonts w:ascii="Times New Roman" w:hAnsi="Times New Roman"/>
          <w:color w:val="000000"/>
          <w:sz w:val="24"/>
        </w:rPr>
        <w:t xml:space="preserve"> зоны.</w:t>
      </w:r>
    </w:p>
    <w:p w14:paraId="47000000">
      <w:pPr>
        <w:spacing w:line="240" w:lineRule="auto"/>
        <w:ind/>
        <w:rPr>
          <w:rFonts w:ascii="Times New Roman" w:hAnsi="Times New Roman"/>
          <w:color w:val="000000"/>
          <w:sz w:val="24"/>
        </w:rPr>
      </w:pPr>
      <w:r>
        <w:rPr>
          <w:rFonts w:ascii="Times New Roman" w:hAnsi="Times New Roman"/>
          <w:b w:val="1"/>
          <w:color w:val="000000"/>
          <w:sz w:val="24"/>
        </w:rPr>
        <w:t>Проектная документация</w:t>
      </w:r>
      <w:r>
        <w:rPr>
          <w:rFonts w:ascii="Times New Roman" w:hAnsi="Times New Roman"/>
          <w:color w:val="000000"/>
          <w:sz w:val="24"/>
        </w:rPr>
        <w:t xml:space="preserve"> -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14:paraId="48000000">
      <w:pPr>
        <w:spacing w:line="240" w:lineRule="auto"/>
        <w:ind/>
        <w:rPr>
          <w:rFonts w:ascii="Times New Roman" w:hAnsi="Times New Roman"/>
          <w:color w:val="000000"/>
          <w:sz w:val="24"/>
        </w:rPr>
      </w:pPr>
      <w:r>
        <w:rPr>
          <w:rFonts w:ascii="Times New Roman" w:hAnsi="Times New Roman"/>
          <w:b w:val="1"/>
          <w:color w:val="000000"/>
          <w:sz w:val="24"/>
        </w:rPr>
        <w:t>Процент остекления первого этажа</w:t>
      </w:r>
      <w:r>
        <w:rPr>
          <w:rFonts w:ascii="Times New Roman" w:hAnsi="Times New Roman"/>
          <w:color w:val="000000"/>
          <w:sz w:val="24"/>
        </w:rPr>
        <w:t xml:space="preserve"> - доля светопрозрачных конструкций от общей площади фасада первого этажа, выходящего на границу участка, примыкающею к территориям общего пользования. </w:t>
      </w:r>
    </w:p>
    <w:p w14:paraId="49000000">
      <w:pPr>
        <w:widowControl w:val="0"/>
        <w:spacing w:line="240" w:lineRule="auto"/>
        <w:ind w:firstLine="708" w:left="0"/>
        <w:rPr>
          <w:rFonts w:ascii="Times New Roman" w:hAnsi="Times New Roman"/>
          <w:color w:val="000000"/>
          <w:sz w:val="24"/>
        </w:rPr>
      </w:pPr>
      <w:r>
        <w:rPr>
          <w:rFonts w:ascii="Times New Roman" w:hAnsi="Times New Roman"/>
          <w:b w:val="1"/>
          <w:color w:val="000000"/>
          <w:sz w:val="24"/>
        </w:rPr>
        <w:t>Публичный сервитут</w:t>
      </w:r>
      <w:r>
        <w:rPr>
          <w:rFonts w:ascii="Times New Roman" w:hAnsi="Times New Roman"/>
          <w:color w:val="000000"/>
          <w:sz w:val="24"/>
        </w:rPr>
        <w:t xml:space="preserve"> - </w:t>
      </w:r>
      <w:r>
        <w:rPr>
          <w:rFonts w:ascii="Times New Roman" w:hAnsi="Times New Roman"/>
          <w:color w:val="000000"/>
          <w:sz w:val="24"/>
        </w:rPr>
        <w:t xml:space="preserve">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Псковской области,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4A000000">
      <w:pPr>
        <w:spacing w:line="240" w:lineRule="auto"/>
        <w:ind/>
        <w:rPr>
          <w:rFonts w:ascii="Times New Roman" w:hAnsi="Times New Roman"/>
          <w:color w:val="000000"/>
          <w:sz w:val="24"/>
        </w:rPr>
      </w:pPr>
      <w:r>
        <w:rPr>
          <w:rFonts w:ascii="Times New Roman" w:hAnsi="Times New Roman"/>
          <w:b w:val="1"/>
          <w:color w:val="000000"/>
          <w:sz w:val="24"/>
        </w:rPr>
        <w:t>Разрешение на строительство</w:t>
      </w:r>
      <w:r>
        <w:rPr>
          <w:rFonts w:ascii="Times New Roman" w:hAnsi="Times New Roman"/>
          <w:color w:val="000000"/>
          <w:sz w:val="24"/>
        </w:rPr>
        <w:t xml:space="preserve"> - соответствие проектной документации требованиям, установленным градостроительным регламентом (за исключением случая, предусмотренного </w:t>
      </w:r>
      <w:r>
        <w:rPr>
          <w:rStyle w:val="Style_8_ch"/>
          <w:rFonts w:ascii="Times New Roman" w:hAnsi="Times New Roman"/>
          <w:color w:val="000000"/>
          <w:sz w:val="24"/>
          <w:u w:val="none"/>
        </w:rPr>
        <w:fldChar w:fldCharType="begin"/>
      </w:r>
      <w:r>
        <w:rPr>
          <w:rStyle w:val="Style_8_ch"/>
          <w:rFonts w:ascii="Times New Roman" w:hAnsi="Times New Roman"/>
          <w:color w:val="000000"/>
          <w:sz w:val="24"/>
          <w:u w:val="none"/>
        </w:rPr>
        <w:instrText>HYPERLINK "https://www.consultant.ru/document/cons_doc_LAW_449675/570afc6feff03328459242886307d6aebe1ccb6b/#dst1592"</w:instrText>
      </w:r>
      <w:r>
        <w:rPr>
          <w:rStyle w:val="Style_8_ch"/>
          <w:rFonts w:ascii="Times New Roman" w:hAnsi="Times New Roman"/>
          <w:color w:val="000000"/>
          <w:sz w:val="24"/>
          <w:u w:val="none"/>
        </w:rPr>
        <w:fldChar w:fldCharType="separate"/>
      </w:r>
      <w:r>
        <w:rPr>
          <w:rStyle w:val="Style_8_ch"/>
          <w:rFonts w:ascii="Times New Roman" w:hAnsi="Times New Roman"/>
          <w:color w:val="000000"/>
          <w:sz w:val="24"/>
          <w:u w:val="none"/>
        </w:rPr>
        <w:t>частью 1.1</w:t>
      </w:r>
      <w:r>
        <w:rPr>
          <w:rStyle w:val="Style_8_ch"/>
          <w:rFonts w:ascii="Times New Roman" w:hAnsi="Times New Roman"/>
          <w:color w:val="000000"/>
          <w:sz w:val="24"/>
          <w:u w:val="none"/>
        </w:rPr>
        <w:fldChar w:fldCharType="end"/>
      </w:r>
      <w:r>
        <w:rPr>
          <w:rFonts w:ascii="Times New Roman" w:hAnsi="Times New Roman"/>
          <w:color w:val="000000"/>
          <w:sz w:val="24"/>
        </w:rPr>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w:t>
      </w:r>
      <w:r>
        <w:rPr>
          <w:rFonts w:ascii="Times New Roman" w:hAnsi="Times New Roman"/>
          <w:color w:val="000000"/>
          <w:sz w:val="24"/>
        </w:rPr>
        <w:t xml:space="preserve"> - </w:t>
      </w:r>
      <w:r>
        <w:rPr>
          <w:rFonts w:ascii="Times New Roman" w:hAnsi="Times New Roman"/>
          <w:color w:val="000000"/>
          <w:sz w:val="24"/>
        </w:rPr>
        <w:t xml:space="preserve">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r>
        <w:rPr>
          <w:rStyle w:val="Style_8_ch"/>
          <w:rFonts w:ascii="Times New Roman" w:hAnsi="Times New Roman"/>
          <w:color w:val="000000"/>
          <w:sz w:val="24"/>
          <w:u w:val="none"/>
        </w:rPr>
        <w:fldChar w:fldCharType="begin"/>
      </w:r>
      <w:r>
        <w:rPr>
          <w:rStyle w:val="Style_8_ch"/>
          <w:rFonts w:ascii="Times New Roman" w:hAnsi="Times New Roman"/>
          <w:color w:val="000000"/>
          <w:sz w:val="24"/>
          <w:u w:val="none"/>
        </w:rPr>
        <w:instrText>HYPERLINK "https://www.consultant.ru/document/cons_doc_LAW_439670/79fcb55f19ff171fcd99a904f2abd618e1321cbd/#dst100014"</w:instrText>
      </w:r>
      <w:r>
        <w:rPr>
          <w:rStyle w:val="Style_8_ch"/>
          <w:rFonts w:ascii="Times New Roman" w:hAnsi="Times New Roman"/>
          <w:color w:val="000000"/>
          <w:sz w:val="24"/>
          <w:u w:val="none"/>
        </w:rPr>
        <w:fldChar w:fldCharType="separate"/>
      </w:r>
      <w:r>
        <w:rPr>
          <w:rStyle w:val="Style_8_ch"/>
          <w:rFonts w:ascii="Times New Roman" w:hAnsi="Times New Roman"/>
          <w:color w:val="000000"/>
          <w:sz w:val="24"/>
          <w:u w:val="none"/>
        </w:rPr>
        <w:t>случаев</w:t>
      </w:r>
      <w:r>
        <w:rPr>
          <w:rStyle w:val="Style_8_ch"/>
          <w:rFonts w:ascii="Times New Roman" w:hAnsi="Times New Roman"/>
          <w:color w:val="000000"/>
          <w:sz w:val="24"/>
          <w:u w:val="none"/>
        </w:rPr>
        <w:fldChar w:fldCharType="end"/>
      </w:r>
      <w:r>
        <w:rPr>
          <w:rFonts w:ascii="Times New Roman" w:hAnsi="Times New Roman"/>
          <w:color w:val="000000"/>
          <w:sz w:val="24"/>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w:t>
      </w:r>
      <w:r>
        <w:rPr>
          <w:rFonts w:ascii="Times New Roman" w:hAnsi="Times New Roman"/>
          <w:color w:val="000000"/>
          <w:sz w:val="24"/>
        </w:rPr>
        <w:t xml:space="preserve"> участка, а также допустимость размещения объекта капитального строительства на земельном участке в </w:t>
      </w:r>
      <w:r>
        <w:rPr>
          <w:rFonts w:ascii="Times New Roman" w:hAnsi="Times New Roman"/>
          <w:color w:val="000000"/>
          <w:sz w:val="24"/>
        </w:rPr>
        <w:t>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4B000000">
      <w:pPr>
        <w:spacing w:line="240" w:lineRule="auto"/>
        <w:ind/>
        <w:rPr>
          <w:rFonts w:ascii="Times New Roman" w:hAnsi="Times New Roman"/>
          <w:color w:val="000000"/>
          <w:sz w:val="24"/>
        </w:rPr>
      </w:pPr>
      <w:r>
        <w:rPr>
          <w:rFonts w:ascii="Times New Roman" w:hAnsi="Times New Roman"/>
          <w:b w:val="1"/>
          <w:color w:val="000000"/>
          <w:sz w:val="24"/>
        </w:rPr>
        <w:t>Разрешение на ввод объекта в эксплуатацию</w:t>
      </w:r>
      <w:r>
        <w:rPr>
          <w:rFonts w:ascii="Times New Roman" w:hAnsi="Times New Roman"/>
          <w:b w:val="1"/>
          <w:color w:val="000000"/>
          <w:sz w:val="24"/>
        </w:rPr>
        <w:t xml:space="preserve"> - </w:t>
      </w:r>
      <w:r>
        <w:rPr>
          <w:rFonts w:ascii="Times New Roman" w:hAnsi="Times New Roman"/>
          <w:color w:val="000000"/>
          <w:sz w:val="24"/>
        </w:rPr>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w:t>
      </w:r>
      <w:r>
        <w:rPr>
          <w:rFonts w:ascii="Times New Roman" w:hAnsi="Times New Roman"/>
          <w:color w:val="000000"/>
          <w:sz w:val="24"/>
        </w:rPr>
        <w:t xml:space="preserve"> </w:t>
      </w:r>
      <w:r>
        <w:rPr>
          <w:rFonts w:ascii="Times New Roman" w:hAnsi="Times New Roman"/>
          <w:color w:val="000000"/>
          <w:sz w:val="24"/>
        </w:rPr>
        <w:t xml:space="preserve">в случае строительства, реконструкции линейного объекта проекту планировки территории и проекту межевания территории (за исключением </w:t>
      </w:r>
      <w:r>
        <w:rPr>
          <w:rStyle w:val="Style_8_ch"/>
          <w:rFonts w:ascii="Times New Roman" w:hAnsi="Times New Roman"/>
          <w:color w:val="000000"/>
          <w:sz w:val="24"/>
          <w:u w:val="none"/>
        </w:rPr>
        <w:fldChar w:fldCharType="begin"/>
      </w:r>
      <w:r>
        <w:rPr>
          <w:rStyle w:val="Style_8_ch"/>
          <w:rFonts w:ascii="Times New Roman" w:hAnsi="Times New Roman"/>
          <w:color w:val="000000"/>
          <w:sz w:val="24"/>
          <w:u w:val="none"/>
        </w:rPr>
        <w:instrText>HYPERLINK "https://www.consultant.ru/document/cons_doc_LAW_439670/79fcb55f19ff171fcd99a904f2abd618e1321cbd/#dst100014"</w:instrText>
      </w:r>
      <w:r>
        <w:rPr>
          <w:rStyle w:val="Style_8_ch"/>
          <w:rFonts w:ascii="Times New Roman" w:hAnsi="Times New Roman"/>
          <w:color w:val="000000"/>
          <w:sz w:val="24"/>
          <w:u w:val="none"/>
        </w:rPr>
        <w:fldChar w:fldCharType="separate"/>
      </w:r>
      <w:r>
        <w:rPr>
          <w:rStyle w:val="Style_8_ch"/>
          <w:rFonts w:ascii="Times New Roman" w:hAnsi="Times New Roman"/>
          <w:color w:val="000000"/>
          <w:sz w:val="24"/>
          <w:u w:val="none"/>
        </w:rPr>
        <w:t>случаев</w:t>
      </w:r>
      <w:r>
        <w:rPr>
          <w:rStyle w:val="Style_8_ch"/>
          <w:rFonts w:ascii="Times New Roman" w:hAnsi="Times New Roman"/>
          <w:color w:val="000000"/>
          <w:sz w:val="24"/>
          <w:u w:val="none"/>
        </w:rPr>
        <w:fldChar w:fldCharType="end"/>
      </w:r>
      <w:r>
        <w:rPr>
          <w:rFonts w:ascii="Times New Roman" w:hAnsi="Times New Roman"/>
          <w:color w:val="000000"/>
          <w:sz w:val="24"/>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w:t>
      </w:r>
      <w:r>
        <w:rPr>
          <w:rFonts w:ascii="Times New Roman" w:hAnsi="Times New Roman"/>
          <w:color w:val="000000"/>
          <w:sz w:val="24"/>
        </w:rPr>
        <w:t xml:space="preserve"> иным законодательством Российской Федерации.</w:t>
      </w:r>
    </w:p>
    <w:p w14:paraId="4C000000">
      <w:pPr>
        <w:spacing w:line="240" w:lineRule="auto"/>
        <w:ind/>
        <w:rPr>
          <w:rFonts w:ascii="Times New Roman" w:hAnsi="Times New Roman"/>
          <w:color w:val="000000"/>
          <w:sz w:val="24"/>
        </w:rPr>
      </w:pPr>
      <w:r>
        <w:rPr>
          <w:rFonts w:ascii="Times New Roman" w:hAnsi="Times New Roman"/>
          <w:b w:val="1"/>
          <w:color w:val="000000"/>
          <w:sz w:val="24"/>
        </w:rPr>
        <w:t>Реконструкция объектов капитального строительства (за исключением линейных объектов)</w:t>
      </w:r>
      <w:r>
        <w:rPr>
          <w:rFonts w:ascii="Times New Roman" w:hAnsi="Times New Roman"/>
          <w:color w:val="000000"/>
          <w:sz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r>
        <w:rPr>
          <w:rFonts w:ascii="Times New Roman" w:hAnsi="Times New Roman"/>
          <w:color w:val="000000"/>
          <w:sz w:val="24"/>
        </w:rPr>
        <w:t xml:space="preserve"> указанных элементов.</w:t>
      </w:r>
    </w:p>
    <w:p w14:paraId="4D000000">
      <w:pPr>
        <w:widowControl w:val="0"/>
        <w:spacing w:line="240" w:lineRule="auto"/>
        <w:ind w:firstLine="708" w:left="0"/>
        <w:rPr>
          <w:rFonts w:ascii="Times New Roman" w:hAnsi="Times New Roman"/>
          <w:color w:val="000000"/>
          <w:sz w:val="24"/>
        </w:rPr>
      </w:pPr>
      <w:r>
        <w:rPr>
          <w:rFonts w:ascii="Times New Roman" w:hAnsi="Times New Roman"/>
          <w:b w:val="1"/>
          <w:color w:val="000000"/>
          <w:sz w:val="24"/>
        </w:rPr>
        <w:t>Собственники земельных участков</w:t>
      </w:r>
      <w:r>
        <w:rPr>
          <w:rFonts w:ascii="Times New Roman" w:hAnsi="Times New Roman"/>
          <w:color w:val="000000"/>
          <w:sz w:val="24"/>
        </w:rPr>
        <w:t xml:space="preserve"> - лица,  являющиеся собственниками земельных участков.</w:t>
      </w:r>
    </w:p>
    <w:p w14:paraId="4E000000">
      <w:pPr>
        <w:widowControl w:val="0"/>
        <w:spacing w:line="240" w:lineRule="auto"/>
        <w:ind w:firstLine="708" w:left="0"/>
        <w:rPr>
          <w:rFonts w:ascii="Times New Roman" w:hAnsi="Times New Roman"/>
          <w:color w:val="000000"/>
          <w:sz w:val="24"/>
        </w:rPr>
      </w:pPr>
      <w:r>
        <w:rPr>
          <w:rFonts w:ascii="Times New Roman" w:hAnsi="Times New Roman"/>
          <w:b w:val="1"/>
          <w:color w:val="000000"/>
          <w:sz w:val="24"/>
        </w:rPr>
        <w:t>Строительные изменения недвижимости</w:t>
      </w:r>
      <w:r>
        <w:rPr>
          <w:rFonts w:ascii="Times New Roman" w:hAnsi="Times New Roman"/>
          <w:color w:val="000000"/>
          <w:sz w:val="24"/>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14:paraId="4F000000">
      <w:pPr>
        <w:widowControl w:val="0"/>
        <w:spacing w:line="240" w:lineRule="auto"/>
        <w:ind w:firstLine="708" w:left="0"/>
        <w:rPr>
          <w:rFonts w:ascii="Times New Roman" w:hAnsi="Times New Roman"/>
          <w:color w:val="000000"/>
          <w:sz w:val="24"/>
        </w:rPr>
      </w:pPr>
      <w:r>
        <w:rPr>
          <w:rFonts w:ascii="Times New Roman" w:hAnsi="Times New Roman"/>
          <w:b w:val="1"/>
          <w:color w:val="000000"/>
          <w:sz w:val="24"/>
        </w:rPr>
        <w:t>Строительство</w:t>
      </w:r>
      <w:r>
        <w:rPr>
          <w:rFonts w:ascii="Times New Roman" w:hAnsi="Times New Roman"/>
          <w:color w:val="000000"/>
          <w:sz w:val="24"/>
        </w:rPr>
        <w:t xml:space="preserve"> - создание зданий, строений, сооружений (в том числе на месте сносимых объектов).</w:t>
      </w:r>
    </w:p>
    <w:p w14:paraId="50000000">
      <w:pPr>
        <w:spacing w:line="240" w:lineRule="auto"/>
        <w:ind/>
        <w:rPr>
          <w:rFonts w:ascii="Times New Roman" w:hAnsi="Times New Roman"/>
          <w:color w:val="000000"/>
          <w:sz w:val="24"/>
        </w:rPr>
      </w:pPr>
      <w:r>
        <w:rPr>
          <w:rFonts w:ascii="Times New Roman" w:hAnsi="Times New Roman"/>
          <w:b w:val="1"/>
          <w:color w:val="000000"/>
          <w:sz w:val="24"/>
        </w:rPr>
        <w:t>Строчная застройка</w:t>
      </w:r>
      <w:r>
        <w:rPr>
          <w:rFonts w:ascii="Times New Roman" w:hAnsi="Times New Roman"/>
          <w:color w:val="000000"/>
          <w:sz w:val="24"/>
        </w:rPr>
        <w:t xml:space="preserve"> - застройка параллельными рядами многоквартирных жилых зданий, ориентированных, как правило, вдоль по линии север-юг. </w:t>
      </w:r>
    </w:p>
    <w:p w14:paraId="51000000">
      <w:pPr>
        <w:spacing w:line="240" w:lineRule="auto"/>
        <w:ind w:firstLine="708" w:left="0"/>
        <w:rPr>
          <w:rFonts w:ascii="Times New Roman" w:hAnsi="Times New Roman"/>
          <w:color w:val="000000"/>
          <w:sz w:val="24"/>
        </w:rPr>
      </w:pPr>
      <w:r>
        <w:rPr>
          <w:rFonts w:ascii="Times New Roman" w:hAnsi="Times New Roman"/>
          <w:b w:val="1"/>
          <w:color w:val="000000"/>
          <w:sz w:val="24"/>
        </w:rPr>
        <w:t>Симметрия</w:t>
      </w:r>
      <w:r>
        <w:rPr>
          <w:rFonts w:ascii="Times New Roman" w:hAnsi="Times New Roman"/>
          <w:color w:val="000000"/>
          <w:sz w:val="24"/>
        </w:rPr>
        <w:t xml:space="preserve"> – одинаковое расположение равных частей здания относительно оси </w:t>
      </w:r>
    </w:p>
    <w:p w14:paraId="52000000">
      <w:pPr>
        <w:spacing w:line="240" w:lineRule="auto"/>
        <w:ind/>
        <w:rPr>
          <w:rFonts w:ascii="Times New Roman" w:hAnsi="Times New Roman"/>
          <w:color w:val="000000"/>
          <w:sz w:val="24"/>
        </w:rPr>
      </w:pPr>
      <w:r>
        <w:rPr>
          <w:rFonts w:ascii="Times New Roman" w:hAnsi="Times New Roman"/>
          <w:b w:val="1"/>
          <w:color w:val="000000"/>
          <w:sz w:val="24"/>
        </w:rPr>
        <w:t>Система горизонтальных и вертикальных осей членения фасадов</w:t>
      </w:r>
      <w:r>
        <w:rPr>
          <w:rFonts w:ascii="Times New Roman" w:hAnsi="Times New Roman"/>
          <w:color w:val="000000"/>
          <w:sz w:val="24"/>
        </w:rPr>
        <w:t xml:space="preserve"> - единство и взаимная зависимость отдельных, горизонтальных и вертикальных элементов фасада </w:t>
      </w:r>
      <w:r>
        <w:rPr>
          <w:rFonts w:ascii="Times New Roman" w:hAnsi="Times New Roman"/>
          <w:color w:val="000000"/>
          <w:sz w:val="24"/>
        </w:rPr>
        <w:t xml:space="preserve">объекта капитального строительства. </w:t>
      </w:r>
      <w:r>
        <w:rPr>
          <w:rFonts w:ascii="Times New Roman" w:hAnsi="Times New Roman"/>
          <w:color w:val="000000"/>
          <w:sz w:val="24"/>
        </w:rPr>
        <w:t>К горизонтальным членениям относятся, все пояски (тяги), к вертикальным — колонны, простенки и пилястры.</w:t>
      </w:r>
    </w:p>
    <w:p w14:paraId="53000000">
      <w:pPr>
        <w:spacing w:line="240" w:lineRule="auto"/>
        <w:ind/>
        <w:rPr>
          <w:rFonts w:ascii="Times New Roman" w:hAnsi="Times New Roman"/>
          <w:color w:val="000000"/>
          <w:sz w:val="24"/>
        </w:rPr>
      </w:pPr>
      <w:r>
        <w:rPr>
          <w:rFonts w:ascii="Times New Roman" w:hAnsi="Times New Roman"/>
          <w:b w:val="1"/>
          <w:color w:val="000000"/>
          <w:sz w:val="24"/>
        </w:rPr>
        <w:t>Сомасштабность</w:t>
      </w:r>
      <w:r>
        <w:rPr>
          <w:rFonts w:ascii="Times New Roman" w:hAnsi="Times New Roman"/>
          <w:color w:val="000000"/>
          <w:sz w:val="24"/>
        </w:rPr>
        <w:t xml:space="preserve"> - соразмерность объекта и его элементов по отношению к человеку, окружающему пространству и архитектурным формам других объектов. </w:t>
      </w:r>
    </w:p>
    <w:p w14:paraId="54000000">
      <w:pPr>
        <w:spacing w:line="240" w:lineRule="auto"/>
        <w:ind/>
        <w:rPr>
          <w:rFonts w:ascii="Times New Roman" w:hAnsi="Times New Roman"/>
          <w:color w:val="000000"/>
          <w:sz w:val="24"/>
        </w:rPr>
      </w:pPr>
      <w:r>
        <w:rPr>
          <w:rFonts w:ascii="Times New Roman" w:hAnsi="Times New Roman"/>
          <w:b w:val="1"/>
          <w:color w:val="000000"/>
          <w:sz w:val="24"/>
        </w:rPr>
        <w:t>Текстура</w:t>
      </w:r>
      <w:r>
        <w:rPr>
          <w:rFonts w:ascii="Times New Roman" w:hAnsi="Times New Roman"/>
          <w:color w:val="000000"/>
          <w:sz w:val="24"/>
        </w:rPr>
        <w:t xml:space="preserve"> - визуальное свойство поверхности, которое передает информацию о структуре материала.</w:t>
      </w:r>
    </w:p>
    <w:p w14:paraId="55000000">
      <w:pPr>
        <w:spacing w:line="240" w:lineRule="auto"/>
        <w:ind/>
        <w:rPr>
          <w:rFonts w:ascii="Times New Roman" w:hAnsi="Times New Roman"/>
          <w:color w:val="000000"/>
          <w:sz w:val="24"/>
        </w:rPr>
      </w:pPr>
      <w:r>
        <w:rPr>
          <w:rFonts w:ascii="Times New Roman" w:hAnsi="Times New Roman"/>
          <w:b w:val="1"/>
          <w:color w:val="000000"/>
          <w:sz w:val="24"/>
        </w:rPr>
        <w:t>Территориальные зоны</w:t>
      </w:r>
      <w:r>
        <w:rPr>
          <w:rFonts w:ascii="Times New Roman" w:hAnsi="Times New Roman"/>
          <w:color w:val="000000"/>
          <w:sz w:val="24"/>
        </w:rPr>
        <w:t xml:space="preserve"> - зоны, для которых в правилах землепользования и застройки определены границы и установлены градостроительные регламенты;</w:t>
      </w:r>
    </w:p>
    <w:p w14:paraId="56000000">
      <w:pPr>
        <w:spacing w:line="240" w:lineRule="auto"/>
        <w:ind/>
        <w:rPr>
          <w:rFonts w:ascii="Times New Roman" w:hAnsi="Times New Roman"/>
          <w:color w:val="000000"/>
          <w:sz w:val="24"/>
        </w:rPr>
      </w:pPr>
      <w:r>
        <w:rPr>
          <w:rFonts w:ascii="Times New Roman" w:hAnsi="Times New Roman"/>
          <w:b w:val="1"/>
          <w:color w:val="000000"/>
          <w:sz w:val="24"/>
        </w:rPr>
        <w:t>Территории общего пользования</w:t>
      </w:r>
      <w:r>
        <w:rPr>
          <w:rFonts w:ascii="Times New Roman" w:hAnsi="Times New Roman"/>
          <w:color w:val="000000"/>
          <w:sz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57000000">
      <w:pPr>
        <w:widowControl w:val="0"/>
        <w:spacing w:line="240" w:lineRule="auto"/>
        <w:ind w:firstLine="708" w:left="0"/>
        <w:rPr>
          <w:rFonts w:ascii="Times New Roman" w:hAnsi="Times New Roman"/>
          <w:color w:val="000000"/>
          <w:sz w:val="24"/>
        </w:rPr>
      </w:pPr>
      <w:r>
        <w:rPr>
          <w:rFonts w:ascii="Times New Roman" w:hAnsi="Times New Roman"/>
          <w:b w:val="1"/>
          <w:color w:val="000000"/>
          <w:sz w:val="24"/>
        </w:rPr>
        <w:t>Технические регламенты</w:t>
      </w:r>
      <w:r>
        <w:rPr>
          <w:rFonts w:ascii="Times New Roman" w:hAnsi="Times New Roman"/>
          <w:color w:val="000000"/>
          <w:sz w:val="24"/>
        </w:rPr>
        <w:t xml:space="preserve"> – документы, которые приняты международным договором Российской Федерации, ратифицированные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r>
        <w:rPr>
          <w:rFonts w:ascii="Times New Roman" w:hAnsi="Times New Roman"/>
          <w:color w:val="000000"/>
          <w:sz w:val="24"/>
        </w:rPr>
        <w:t xml:space="preserve">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14:paraId="58000000">
      <w:pPr>
        <w:spacing w:line="240" w:lineRule="auto"/>
        <w:ind/>
        <w:rPr>
          <w:rFonts w:ascii="Times New Roman" w:hAnsi="Times New Roman"/>
          <w:color w:val="000000"/>
          <w:sz w:val="24"/>
        </w:rPr>
      </w:pPr>
      <w:r>
        <w:rPr>
          <w:rFonts w:ascii="Times New Roman" w:hAnsi="Times New Roman"/>
          <w:b w:val="1"/>
          <w:color w:val="000000"/>
          <w:sz w:val="24"/>
        </w:rPr>
        <w:t>Типовой этаж</w:t>
      </w:r>
      <w:r>
        <w:rPr>
          <w:rFonts w:ascii="Times New Roman" w:hAnsi="Times New Roman"/>
          <w:color w:val="000000"/>
          <w:sz w:val="24"/>
        </w:rPr>
        <w:t xml:space="preserve"> - этаж здания, планировочное и конструктивное решение которого неоднократно повторяется по высоте здания.</w:t>
      </w:r>
    </w:p>
    <w:p w14:paraId="59000000">
      <w:pPr>
        <w:spacing w:line="240" w:lineRule="auto"/>
        <w:ind/>
        <w:rPr>
          <w:rFonts w:ascii="Times New Roman" w:hAnsi="Times New Roman"/>
          <w:color w:val="000000"/>
          <w:sz w:val="24"/>
        </w:rPr>
      </w:pPr>
      <w:r>
        <w:rPr>
          <w:rFonts w:ascii="Times New Roman" w:hAnsi="Times New Roman"/>
          <w:b w:val="1"/>
          <w:color w:val="000000"/>
          <w:sz w:val="24"/>
        </w:rPr>
        <w:t>Точечная застройка</w:t>
      </w:r>
      <w:r>
        <w:rPr>
          <w:rFonts w:ascii="Times New Roman" w:hAnsi="Times New Roman"/>
          <w:color w:val="000000"/>
          <w:sz w:val="24"/>
        </w:rPr>
        <w:t xml:space="preserve"> - формируется из домов-башен различной этажности, используются для высокоплотного освоения небольших участков. </w:t>
      </w:r>
    </w:p>
    <w:p w14:paraId="5A000000">
      <w:pPr>
        <w:spacing w:line="240" w:lineRule="auto"/>
        <w:ind/>
        <w:rPr>
          <w:rFonts w:ascii="Times New Roman" w:hAnsi="Times New Roman"/>
          <w:color w:val="000000"/>
          <w:sz w:val="24"/>
        </w:rPr>
      </w:pPr>
      <w:r>
        <w:rPr>
          <w:rFonts w:ascii="Times New Roman" w:hAnsi="Times New Roman"/>
          <w:b w:val="1"/>
          <w:color w:val="000000"/>
          <w:sz w:val="24"/>
        </w:rPr>
        <w:t>Улично-дорожная сеть</w:t>
      </w:r>
      <w:r>
        <w:rPr>
          <w:rFonts w:ascii="Times New Roman" w:hAnsi="Times New Roman"/>
          <w:color w:val="000000"/>
          <w:sz w:val="24"/>
        </w:rPr>
        <w:t xml:space="preserve"> - </w:t>
      </w:r>
      <w:r>
        <w:rPr>
          <w:rFonts w:ascii="Times New Roman" w:hAnsi="Times New Roman"/>
          <w:color w:val="000000"/>
          <w:sz w:val="24"/>
        </w:rPr>
        <w:t>система объектов капитального строительства, включая улицы и дороги различных категорий и входящие в их состав объекты дорожно-мостового строительства</w:t>
      </w:r>
      <w:r>
        <w:rPr>
          <w:rFonts w:ascii="Times New Roman" w:hAnsi="Times New Roman"/>
          <w:color w:val="000000"/>
          <w:sz w:val="24"/>
        </w:rPr>
        <w:t xml:space="preserve">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w:t>
      </w:r>
    </w:p>
    <w:p w14:paraId="5B000000">
      <w:pPr>
        <w:spacing w:line="240" w:lineRule="auto"/>
        <w:ind/>
        <w:rPr>
          <w:rFonts w:ascii="Times New Roman" w:hAnsi="Times New Roman"/>
          <w:color w:val="000000"/>
          <w:sz w:val="24"/>
        </w:rPr>
      </w:pPr>
      <w:r>
        <w:rPr>
          <w:rFonts w:ascii="Times New Roman" w:hAnsi="Times New Roman"/>
          <w:b w:val="1"/>
          <w:color w:val="000000"/>
          <w:sz w:val="24"/>
        </w:rPr>
        <w:t>Фактура</w:t>
      </w:r>
      <w:r>
        <w:rPr>
          <w:rFonts w:ascii="Times New Roman" w:hAnsi="Times New Roman"/>
          <w:color w:val="000000"/>
          <w:sz w:val="24"/>
        </w:rPr>
        <w:t xml:space="preserve"> - внешнее строение поверхности материала с ее характерным рельефом.</w:t>
      </w:r>
    </w:p>
    <w:p w14:paraId="5C000000">
      <w:pPr>
        <w:spacing w:line="240" w:lineRule="auto"/>
        <w:ind/>
        <w:rPr>
          <w:rFonts w:ascii="Times New Roman" w:hAnsi="Times New Roman"/>
          <w:color w:val="000000"/>
          <w:sz w:val="24"/>
        </w:rPr>
      </w:pPr>
      <w:r>
        <w:rPr>
          <w:rFonts w:ascii="Times New Roman" w:hAnsi="Times New Roman"/>
          <w:b w:val="1"/>
          <w:color w:val="000000"/>
          <w:sz w:val="24"/>
        </w:rPr>
        <w:t>Функционально-планировочное решение</w:t>
      </w:r>
      <w:r>
        <w:rPr>
          <w:rFonts w:ascii="Times New Roman" w:hAnsi="Times New Roman"/>
          <w:color w:val="000000"/>
          <w:sz w:val="24"/>
        </w:rPr>
        <w:t xml:space="preserve"> - решение поэтажных планов, где определены набор помещений, их назначение и функциональные взаимосвязи</w:t>
      </w:r>
    </w:p>
    <w:p w14:paraId="5D000000">
      <w:pPr>
        <w:spacing w:line="240" w:lineRule="auto"/>
        <w:ind/>
        <w:rPr>
          <w:rFonts w:ascii="Times New Roman" w:hAnsi="Times New Roman"/>
          <w:color w:val="000000"/>
          <w:sz w:val="24"/>
        </w:rPr>
      </w:pPr>
      <w:r>
        <w:rPr>
          <w:rFonts w:ascii="Times New Roman" w:hAnsi="Times New Roman"/>
          <w:b w:val="1"/>
          <w:color w:val="000000"/>
          <w:sz w:val="24"/>
        </w:rPr>
        <w:t>Элементы входных групп</w:t>
      </w:r>
      <w:r>
        <w:rPr>
          <w:rFonts w:ascii="Times New Roman" w:hAnsi="Times New Roman"/>
          <w:color w:val="000000"/>
          <w:sz w:val="24"/>
        </w:rPr>
        <w:t xml:space="preserve"> - козырьки, навесы (в том числе их несущие конструкции при наличии), лестницы, площадки, ступени, в случае организации выступающей входной группы - стены.</w:t>
      </w:r>
    </w:p>
    <w:p w14:paraId="5E000000">
      <w:pPr>
        <w:spacing w:line="240" w:lineRule="auto"/>
        <w:ind w:firstLine="567" w:left="0"/>
        <w:rPr>
          <w:rFonts w:ascii="Times New Roman" w:hAnsi="Times New Roman"/>
          <w:color w:val="000000"/>
          <w:sz w:val="24"/>
        </w:rPr>
      </w:pPr>
      <w:r>
        <w:rPr>
          <w:rFonts w:ascii="Times New Roman" w:hAnsi="Times New Roman"/>
          <w:b w:val="1"/>
          <w:color w:val="000000"/>
          <w:sz w:val="24"/>
        </w:rPr>
        <w:t>Этажность здания</w:t>
      </w:r>
      <w:r>
        <w:rPr>
          <w:rFonts w:ascii="Times New Roman" w:hAnsi="Times New Roman"/>
          <w:color w:val="000000"/>
          <w:sz w:val="24"/>
        </w:rPr>
        <w:t xml:space="preserve"> - </w:t>
      </w:r>
      <w:r>
        <w:rPr>
          <w:rFonts w:ascii="Times New Roman" w:hAnsi="Times New Roman"/>
          <w:color w:val="000000"/>
          <w:sz w:val="24"/>
        </w:rPr>
        <w:t>количество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на 2 м. Количество этажей — все этажи, включая подземный, подвальный, цокольный, надземный, технический, мансардный и другие.</w:t>
      </w:r>
    </w:p>
    <w:p w14:paraId="5F000000">
      <w:pPr>
        <w:pStyle w:val="Style_6"/>
        <w:spacing w:line="240" w:lineRule="auto"/>
        <w:ind w:firstLine="708" w:left="0"/>
        <w:jc w:val="both"/>
        <w:rPr>
          <w:color w:val="000000"/>
        </w:rPr>
      </w:pPr>
      <w:r>
        <w:rPr>
          <w:b w:val="1"/>
          <w:color w:val="000000"/>
        </w:rPr>
        <w:t>Эстетическая выразительность фасадов</w:t>
      </w:r>
      <w:r>
        <w:rPr>
          <w:color w:val="000000"/>
        </w:rPr>
        <w:t xml:space="preserve"> – архитектурный образ, оказывающий благоприятное визуальное восприятие внешнего облика здания.</w:t>
      </w:r>
    </w:p>
    <w:p w14:paraId="60000000">
      <w:pPr>
        <w:pStyle w:val="Style_3"/>
        <w:spacing w:line="240" w:lineRule="auto"/>
        <w:ind w:firstLine="709" w:left="0"/>
        <w:jc w:val="both"/>
        <w:rPr>
          <w:rFonts w:ascii="Times New Roman" w:hAnsi="Times New Roman"/>
          <w:color w:val="000000"/>
          <w:sz w:val="24"/>
        </w:rPr>
      </w:pPr>
    </w:p>
    <w:p w14:paraId="61000000">
      <w:pPr>
        <w:pStyle w:val="Style_3"/>
        <w:spacing w:line="240" w:lineRule="auto"/>
        <w:ind w:firstLine="709" w:left="0"/>
        <w:jc w:val="both"/>
        <w:rPr>
          <w:rFonts w:ascii="Times New Roman" w:hAnsi="Times New Roman"/>
          <w:b w:val="1"/>
          <w:color w:val="000000"/>
          <w:sz w:val="24"/>
        </w:rPr>
      </w:pPr>
    </w:p>
    <w:p w14:paraId="62000000">
      <w:pPr>
        <w:pStyle w:val="Style_3"/>
        <w:spacing w:line="240" w:lineRule="auto"/>
        <w:ind w:firstLine="709" w:left="0"/>
        <w:jc w:val="both"/>
        <w:rPr>
          <w:rFonts w:ascii="Times New Roman" w:hAnsi="Times New Roman"/>
          <w:b w:val="1"/>
          <w:color w:val="000000"/>
          <w:sz w:val="24"/>
        </w:rPr>
      </w:pPr>
      <w:r>
        <w:rPr>
          <w:rFonts w:ascii="Times New Roman" w:hAnsi="Times New Roman"/>
          <w:b w:val="1"/>
          <w:color w:val="000000"/>
          <w:sz w:val="24"/>
        </w:rPr>
        <w:t xml:space="preserve">1.2. </w:t>
      </w:r>
      <w:r>
        <w:rPr>
          <w:rFonts w:ascii="Times New Roman" w:hAnsi="Times New Roman"/>
          <w:b w:val="1"/>
          <w:color w:val="000000"/>
          <w:sz w:val="24"/>
        </w:rPr>
        <w:t>Ч</w:t>
      </w:r>
      <w:r>
        <w:rPr>
          <w:rFonts w:ascii="Times New Roman" w:hAnsi="Times New Roman"/>
          <w:b w:val="1"/>
          <w:color w:val="000000"/>
          <w:sz w:val="24"/>
        </w:rPr>
        <w:t xml:space="preserve">асть 2 «Градостроительные регламенты» </w:t>
      </w:r>
      <w:r>
        <w:rPr>
          <w:rFonts w:ascii="Times New Roman" w:hAnsi="Times New Roman"/>
          <w:b w:val="1"/>
          <w:color w:val="000000"/>
          <w:sz w:val="24"/>
        </w:rPr>
        <w:t xml:space="preserve">дополнить главой 2.1.1 </w:t>
      </w:r>
      <w:r>
        <w:rPr>
          <w:rFonts w:ascii="Times New Roman" w:hAnsi="Times New Roman"/>
          <w:b w:val="1"/>
          <w:color w:val="000000"/>
          <w:sz w:val="24"/>
        </w:rPr>
        <w:t>следующего содержания:</w:t>
      </w:r>
    </w:p>
    <w:p w14:paraId="63000000">
      <w:pPr>
        <w:pStyle w:val="Style_3"/>
        <w:spacing w:line="240" w:lineRule="auto"/>
        <w:ind w:firstLine="709" w:left="0"/>
        <w:jc w:val="both"/>
        <w:rPr>
          <w:rFonts w:ascii="Times New Roman" w:hAnsi="Times New Roman"/>
          <w:b w:val="1"/>
          <w:color w:val="000000"/>
          <w:sz w:val="24"/>
        </w:rPr>
      </w:pPr>
      <w:r>
        <w:rPr>
          <w:rFonts w:ascii="Times New Roman" w:hAnsi="Times New Roman"/>
          <w:b w:val="1"/>
          <w:color w:val="000000"/>
          <w:sz w:val="24"/>
        </w:rPr>
        <w:t>«2.</w:t>
      </w:r>
      <w:r>
        <w:rPr>
          <w:rFonts w:ascii="Times New Roman" w:hAnsi="Times New Roman"/>
          <w:b w:val="1"/>
          <w:color w:val="000000"/>
          <w:sz w:val="24"/>
        </w:rPr>
        <w:t>1.</w:t>
      </w:r>
      <w:r>
        <w:rPr>
          <w:rFonts w:ascii="Times New Roman" w:hAnsi="Times New Roman"/>
          <w:b w:val="1"/>
          <w:color w:val="000000"/>
          <w:sz w:val="24"/>
        </w:rPr>
        <w:t>1</w:t>
      </w:r>
      <w:r>
        <w:rPr>
          <w:rFonts w:ascii="Times New Roman" w:hAnsi="Times New Roman"/>
          <w:b w:val="1"/>
          <w:color w:val="000000"/>
          <w:sz w:val="24"/>
        </w:rPr>
        <w:t>. Требования к архитектурно-градостроительному облику объектов капитального строительства.</w:t>
      </w:r>
    </w:p>
    <w:p w14:paraId="64000000">
      <w:pPr>
        <w:pStyle w:val="Style_3"/>
        <w:spacing w:line="240" w:lineRule="auto"/>
        <w:ind w:firstLine="709" w:left="0"/>
        <w:jc w:val="both"/>
        <w:rPr>
          <w:rFonts w:ascii="Times New Roman" w:hAnsi="Times New Roman"/>
          <w:b w:val="1"/>
          <w:color w:val="000000"/>
          <w:sz w:val="24"/>
        </w:rPr>
      </w:pPr>
    </w:p>
    <w:p w14:paraId="65000000">
      <w:pPr>
        <w:spacing w:line="240" w:lineRule="auto"/>
        <w:ind/>
        <w:rPr>
          <w:rFonts w:ascii="Times New Roman" w:hAnsi="Times New Roman"/>
          <w:b w:val="1"/>
          <w:color w:val="000000"/>
          <w:sz w:val="24"/>
        </w:rPr>
      </w:pPr>
      <w:r>
        <w:rPr>
          <w:rFonts w:ascii="Times New Roman" w:hAnsi="Times New Roman"/>
          <w:b w:val="1"/>
          <w:color w:val="000000"/>
          <w:sz w:val="24"/>
        </w:rPr>
        <w:t>Статья 50.1. Общие положения в части требований к архитектурно-градостроительному облику объектов капитального строительства</w:t>
      </w:r>
    </w:p>
    <w:p w14:paraId="66000000">
      <w:pPr>
        <w:pStyle w:val="Style_3"/>
        <w:spacing w:line="240" w:lineRule="auto"/>
        <w:ind w:firstLine="709" w:left="0"/>
        <w:jc w:val="both"/>
        <w:rPr>
          <w:rFonts w:ascii="Times New Roman" w:hAnsi="Times New Roman"/>
          <w:sz w:val="24"/>
        </w:rPr>
      </w:pPr>
    </w:p>
    <w:p w14:paraId="67000000">
      <w:pPr>
        <w:pStyle w:val="Style_3"/>
        <w:spacing w:line="240" w:lineRule="auto"/>
        <w:ind w:firstLine="709" w:left="0"/>
        <w:jc w:val="both"/>
        <w:rPr>
          <w:rFonts w:ascii="Times New Roman" w:hAnsi="Times New Roman"/>
          <w:sz w:val="24"/>
        </w:rPr>
      </w:pPr>
      <w:r>
        <w:rPr>
          <w:rFonts w:ascii="Times New Roman" w:hAnsi="Times New Roman"/>
          <w:sz w:val="24"/>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пунктом 6 настоящей Главы, за исключением случаев, предусмотренных </w:t>
      </w:r>
      <w:r>
        <w:rPr>
          <w:rStyle w:val="Style_8_ch"/>
          <w:rFonts w:ascii="Times New Roman" w:hAnsi="Times New Roman"/>
          <w:color w:val="000000"/>
          <w:sz w:val="24"/>
          <w:u w:val="none"/>
        </w:rPr>
        <w:fldChar w:fldCharType="begin"/>
      </w:r>
      <w:r>
        <w:rPr>
          <w:rStyle w:val="Style_8_ch"/>
          <w:rFonts w:ascii="Times New Roman" w:hAnsi="Times New Roman"/>
          <w:color w:val="000000"/>
          <w:sz w:val="24"/>
          <w:u w:val="none"/>
        </w:rPr>
        <w:instrText>HYPERLINK "https://www.consultant.ru/document/cons_doc_LAW_449675/70ac306826bc92daa560ad83d22d3b26c2834b8b/#dst4074"</w:instrText>
      </w:r>
      <w:r>
        <w:rPr>
          <w:rStyle w:val="Style_8_ch"/>
          <w:rFonts w:ascii="Times New Roman" w:hAnsi="Times New Roman"/>
          <w:color w:val="000000"/>
          <w:sz w:val="24"/>
          <w:u w:val="none"/>
        </w:rPr>
        <w:fldChar w:fldCharType="separate"/>
      </w:r>
      <w:r>
        <w:rPr>
          <w:rStyle w:val="Style_8_ch"/>
          <w:rFonts w:ascii="Times New Roman" w:hAnsi="Times New Roman"/>
          <w:color w:val="000000"/>
          <w:sz w:val="24"/>
          <w:u w:val="none"/>
        </w:rPr>
        <w:t>пунктом</w:t>
      </w:r>
      <w:r>
        <w:rPr>
          <w:rStyle w:val="Style_8_ch"/>
          <w:rFonts w:ascii="Times New Roman" w:hAnsi="Times New Roman"/>
          <w:color w:val="000000"/>
          <w:sz w:val="24"/>
          <w:u w:val="none"/>
        </w:rPr>
        <w:fldChar w:fldCharType="end"/>
      </w:r>
      <w:r>
        <w:rPr>
          <w:rFonts w:ascii="Times New Roman" w:hAnsi="Times New Roman"/>
          <w:sz w:val="24"/>
        </w:rPr>
        <w:t xml:space="preserve"> 5 настоящей Главы.</w:t>
      </w:r>
    </w:p>
    <w:p w14:paraId="68000000">
      <w:pPr>
        <w:pStyle w:val="Style_3"/>
        <w:spacing w:line="240" w:lineRule="auto"/>
        <w:ind w:firstLine="709" w:left="0"/>
        <w:jc w:val="both"/>
        <w:rPr>
          <w:rFonts w:ascii="Times New Roman" w:hAnsi="Times New Roman"/>
          <w:sz w:val="24"/>
        </w:rPr>
      </w:pPr>
      <w:r>
        <w:rPr>
          <w:rFonts w:ascii="Times New Roman" w:hAnsi="Times New Roman"/>
          <w:sz w:val="24"/>
        </w:rPr>
        <w:t>2. Состав требований к архитектурно-градостроительному облику объектов капитального строительства определен в соответствии с пунктами 3-9 Требований к архитектурно-градостроительному облику объекта капитального строительства, утвержденных постановлением Правительства Российской Федерации от 29 мая 2023 г. № 857.</w:t>
      </w:r>
    </w:p>
    <w:p w14:paraId="69000000">
      <w:pPr>
        <w:pStyle w:val="Style_3"/>
        <w:spacing w:line="240" w:lineRule="auto"/>
        <w:ind w:firstLine="709" w:left="0"/>
        <w:jc w:val="both"/>
        <w:rPr>
          <w:rFonts w:ascii="Times New Roman" w:hAnsi="Times New Roman"/>
          <w:sz w:val="24"/>
        </w:rPr>
      </w:pPr>
      <w:r>
        <w:rPr>
          <w:rFonts w:ascii="Times New Roman" w:hAnsi="Times New Roman"/>
          <w:sz w:val="24"/>
        </w:rPr>
        <w:t>3. Требования к архитектурно-градостроительному облику объектов капитального строительства включают в себя:</w:t>
      </w:r>
    </w:p>
    <w:p w14:paraId="6A000000">
      <w:pPr>
        <w:widowControl w:val="0"/>
        <w:spacing w:line="240" w:lineRule="auto"/>
        <w:ind w:firstLine="709" w:left="0"/>
        <w:rPr>
          <w:rFonts w:ascii="Times New Roman" w:hAnsi="Times New Roman"/>
          <w:sz w:val="24"/>
        </w:rPr>
      </w:pPr>
      <w:r>
        <w:rPr>
          <w:rFonts w:ascii="Times New Roman" w:hAnsi="Times New Roman"/>
          <w:sz w:val="24"/>
        </w:rPr>
        <w:t>3.1. Требования к объемно-пространственным характеристикам объектов капитального строительства.</w:t>
      </w:r>
    </w:p>
    <w:p w14:paraId="6B000000">
      <w:pPr>
        <w:widowControl w:val="0"/>
        <w:spacing w:line="240" w:lineRule="auto"/>
        <w:ind w:firstLine="709" w:left="0"/>
        <w:rPr>
          <w:rFonts w:ascii="Times New Roman" w:hAnsi="Times New Roman"/>
          <w:sz w:val="24"/>
        </w:rPr>
      </w:pPr>
      <w:r>
        <w:rPr>
          <w:rFonts w:ascii="Times New Roman" w:hAnsi="Times New Roman"/>
          <w:sz w:val="24"/>
        </w:rPr>
        <w:t xml:space="preserve">Устанавливаются путем перечисления </w:t>
      </w:r>
      <w:r>
        <w:rPr>
          <w:rFonts w:ascii="Times New Roman" w:hAnsi="Times New Roman"/>
          <w:sz w:val="24"/>
        </w:rPr>
        <w:t>архитектурных решений</w:t>
      </w:r>
      <w:r>
        <w:rPr>
          <w:rFonts w:ascii="Times New Roman" w:hAnsi="Times New Roman"/>
          <w:sz w:val="24"/>
        </w:rPr>
        <w:t xml:space="preserve"> объектов капитального строительства, определяющих их размер, форму, функциональное назначение и местоположение в границах земельного участка.</w:t>
      </w:r>
    </w:p>
    <w:p w14:paraId="6C000000">
      <w:pPr>
        <w:widowControl w:val="0"/>
        <w:spacing w:line="240" w:lineRule="auto"/>
        <w:ind w:firstLine="709" w:left="0"/>
        <w:rPr>
          <w:rFonts w:ascii="Times New Roman" w:hAnsi="Times New Roman"/>
          <w:sz w:val="24"/>
        </w:rPr>
      </w:pPr>
      <w:r>
        <w:rPr>
          <w:rFonts w:ascii="Times New Roman" w:hAnsi="Times New Roman"/>
          <w:sz w:val="24"/>
        </w:rPr>
        <w:t>3.2. 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w:t>
      </w:r>
    </w:p>
    <w:p w14:paraId="6D000000">
      <w:pPr>
        <w:widowControl w:val="0"/>
        <w:spacing w:line="240" w:lineRule="auto"/>
        <w:ind w:firstLine="709" w:left="0"/>
        <w:rPr>
          <w:rFonts w:ascii="Times New Roman" w:hAnsi="Times New Roman"/>
          <w:sz w:val="24"/>
        </w:rPr>
      </w:pPr>
      <w:r>
        <w:rPr>
          <w:rFonts w:ascii="Times New Roman" w:hAnsi="Times New Roman"/>
          <w:sz w:val="24"/>
        </w:rPr>
        <w:t>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p w14:paraId="6E000000">
      <w:pPr>
        <w:widowControl w:val="0"/>
        <w:spacing w:line="240" w:lineRule="auto"/>
        <w:ind w:firstLine="709" w:left="0"/>
        <w:rPr>
          <w:rFonts w:ascii="Times New Roman" w:hAnsi="Times New Roman"/>
          <w:sz w:val="24"/>
        </w:rPr>
      </w:pPr>
      <w:r>
        <w:rPr>
          <w:rFonts w:ascii="Times New Roman" w:hAnsi="Times New Roman"/>
          <w:sz w:val="24"/>
        </w:rPr>
        <w:t>3.3. 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p w14:paraId="6F000000">
      <w:pPr>
        <w:widowControl w:val="0"/>
        <w:spacing w:line="240" w:lineRule="auto"/>
        <w:ind w:firstLine="709" w:left="0"/>
        <w:rPr>
          <w:rFonts w:ascii="Times New Roman" w:hAnsi="Times New Roman"/>
          <w:sz w:val="24"/>
        </w:rPr>
      </w:pPr>
      <w:r>
        <w:rPr>
          <w:rFonts w:ascii="Times New Roman" w:hAnsi="Times New Roman"/>
          <w:sz w:val="24"/>
        </w:rPr>
        <w:t>Устанавливаются путем перечисления цветов и оттенков для отделки их фасадов с указанием палитры.</w:t>
      </w:r>
    </w:p>
    <w:p w14:paraId="70000000">
      <w:pPr>
        <w:widowControl w:val="0"/>
        <w:spacing w:line="240" w:lineRule="auto"/>
        <w:ind w:firstLine="709" w:left="0"/>
        <w:rPr>
          <w:rFonts w:ascii="Times New Roman" w:hAnsi="Times New Roman"/>
          <w:sz w:val="24"/>
        </w:rPr>
      </w:pPr>
      <w:r>
        <w:rPr>
          <w:rFonts w:ascii="Times New Roman" w:hAnsi="Times New Roman"/>
          <w:sz w:val="24"/>
        </w:rPr>
        <w:t>3.4. Требования к отделочным и (или) строительным материалам объектов капитального строительства.</w:t>
      </w:r>
    </w:p>
    <w:p w14:paraId="71000000">
      <w:pPr>
        <w:widowControl w:val="0"/>
        <w:spacing w:line="240" w:lineRule="auto"/>
        <w:ind w:firstLine="709" w:left="0"/>
        <w:rPr>
          <w:rFonts w:ascii="Times New Roman" w:hAnsi="Times New Roman"/>
          <w:sz w:val="24"/>
        </w:rPr>
      </w:pPr>
      <w:r>
        <w:rPr>
          <w:rFonts w:ascii="Times New Roman" w:hAnsi="Times New Roman"/>
          <w:sz w:val="24"/>
        </w:rPr>
        <w:t xml:space="preserve">Устанавливаются путем перечисления материалов для отделки фасадов и приемов </w:t>
      </w:r>
      <w:r>
        <w:rPr>
          <w:rFonts w:ascii="Times New Roman" w:hAnsi="Times New Roman"/>
          <w:sz w:val="24"/>
        </w:rPr>
        <w:t>улучшения декоративных качеств фасадов объектов капитального строительства</w:t>
      </w:r>
      <w:r>
        <w:rPr>
          <w:rFonts w:ascii="Times New Roman" w:hAnsi="Times New Roman"/>
          <w:sz w:val="24"/>
        </w:rPr>
        <w:t>.</w:t>
      </w:r>
    </w:p>
    <w:p w14:paraId="72000000">
      <w:pPr>
        <w:widowControl w:val="0"/>
        <w:spacing w:line="240" w:lineRule="auto"/>
        <w:ind w:firstLine="709" w:left="0"/>
        <w:rPr>
          <w:rFonts w:ascii="Times New Roman" w:hAnsi="Times New Roman"/>
          <w:sz w:val="24"/>
        </w:rPr>
      </w:pPr>
      <w:r>
        <w:rPr>
          <w:rFonts w:ascii="Times New Roman" w:hAnsi="Times New Roman"/>
          <w:sz w:val="24"/>
        </w:rPr>
        <w:t>3.5. Требования к размещению технического и инженерного оборудования на фасадах и кровлях объектов капитального строительства.</w:t>
      </w:r>
    </w:p>
    <w:p w14:paraId="73000000">
      <w:pPr>
        <w:widowControl w:val="0"/>
        <w:spacing w:line="240" w:lineRule="auto"/>
        <w:ind w:firstLine="709" w:left="0"/>
        <w:rPr>
          <w:rFonts w:ascii="Times New Roman" w:hAnsi="Times New Roman"/>
          <w:sz w:val="24"/>
        </w:rPr>
      </w:pPr>
      <w:r>
        <w:rPr>
          <w:rFonts w:ascii="Times New Roman" w:hAnsi="Times New Roman"/>
          <w:sz w:val="24"/>
        </w:rPr>
        <w:t xml:space="preserve">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w:t>
      </w:r>
      <w:r>
        <w:rPr>
          <w:rFonts w:ascii="Times New Roman" w:hAnsi="Times New Roman"/>
          <w:sz w:val="24"/>
        </w:rPr>
        <w:t xml:space="preserve">улучшения декоративных качеств фасадов объектов </w:t>
      </w:r>
      <w:r>
        <w:rPr>
          <w:rFonts w:ascii="Times New Roman" w:hAnsi="Times New Roman"/>
          <w:sz w:val="24"/>
        </w:rPr>
        <w:t>капитального строительства</w:t>
      </w:r>
      <w:r>
        <w:rPr>
          <w:rFonts w:ascii="Times New Roman" w:hAnsi="Times New Roman"/>
          <w:sz w:val="24"/>
        </w:rPr>
        <w:t xml:space="preserve"> при размещении такого оборудования.</w:t>
      </w:r>
    </w:p>
    <w:p w14:paraId="74000000">
      <w:pPr>
        <w:widowControl w:val="0"/>
        <w:spacing w:line="240" w:lineRule="auto"/>
        <w:ind w:firstLine="709" w:left="0"/>
        <w:rPr>
          <w:rFonts w:ascii="Times New Roman" w:hAnsi="Times New Roman"/>
          <w:sz w:val="24"/>
        </w:rPr>
      </w:pPr>
      <w:r>
        <w:rPr>
          <w:rFonts w:ascii="Times New Roman" w:hAnsi="Times New Roman"/>
          <w:sz w:val="24"/>
        </w:rPr>
        <w:t>3.6. Требования к подсветке фасадов объектов капитального строительства.</w:t>
      </w:r>
      <w:r>
        <w:t xml:space="preserve"> </w:t>
      </w:r>
      <w:r>
        <w:rPr>
          <w:rFonts w:ascii="Times New Roman" w:hAnsi="Times New Roman"/>
        </w:rPr>
        <w:t>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p w14:paraId="75000000">
      <w:pPr>
        <w:widowControl w:val="0"/>
        <w:spacing w:line="240" w:lineRule="auto"/>
        <w:ind w:firstLine="709" w:left="0"/>
        <w:rPr>
          <w:rFonts w:ascii="Times New Roman" w:hAnsi="Times New Roman"/>
          <w:sz w:val="24"/>
        </w:rPr>
      </w:pPr>
      <w:r>
        <w:rPr>
          <w:rFonts w:ascii="Times New Roman" w:hAnsi="Times New Roman"/>
          <w:sz w:val="24"/>
        </w:rPr>
        <w:t>4. Требования к архитектурно-градостроительному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14:paraId="76000000">
      <w:pPr>
        <w:widowControl w:val="0"/>
        <w:spacing w:line="240" w:lineRule="auto"/>
        <w:ind w:firstLine="709" w:left="0"/>
        <w:rPr>
          <w:rFonts w:ascii="Times New Roman" w:hAnsi="Times New Roman"/>
          <w:sz w:val="24"/>
        </w:rPr>
      </w:pPr>
      <w:r>
        <w:rPr>
          <w:rFonts w:ascii="Times New Roman" w:hAnsi="Times New Roman"/>
        </w:rPr>
        <w:t>5.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указанных в пунктах 1 - 4 части 2 статьи 40.</w:t>
      </w:r>
      <w:r>
        <w:rPr>
          <w:rStyle w:val="Style_9_ch"/>
          <w:rFonts w:ascii="Times New Roman" w:hAnsi="Times New Roman"/>
        </w:rPr>
        <w:t xml:space="preserve">1 </w:t>
      </w:r>
      <w:r>
        <w:rPr>
          <w:rStyle w:val="Style_10_ch"/>
          <w:rFonts w:ascii="Times New Roman" w:hAnsi="Times New Roman"/>
        </w:rPr>
        <w:t>Градостроительного кодекса Российской Федерации</w:t>
      </w:r>
      <w:r>
        <w:rPr>
          <w:rFonts w:ascii="Times New Roman" w:hAnsi="Times New Roman"/>
        </w:rPr>
        <w:t>:</w:t>
      </w:r>
    </w:p>
    <w:p w14:paraId="77000000">
      <w:pPr>
        <w:spacing w:line="240" w:lineRule="auto"/>
        <w:ind w:firstLine="709" w:left="0"/>
        <w:jc w:val="left"/>
        <w:rPr>
          <w:rFonts w:ascii="Times New Roman" w:hAnsi="Times New Roman"/>
          <w:sz w:val="24"/>
        </w:rPr>
      </w:pPr>
      <w:r>
        <w:rPr>
          <w:rFonts w:ascii="Times New Roman" w:hAnsi="Times New Roman"/>
          <w:sz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78000000">
      <w:pPr>
        <w:spacing w:line="240" w:lineRule="auto"/>
        <w:ind w:firstLine="709" w:left="0"/>
        <w:jc w:val="left"/>
        <w:rPr>
          <w:rFonts w:ascii="Times New Roman" w:hAnsi="Times New Roman"/>
          <w:sz w:val="24"/>
        </w:rPr>
      </w:pPr>
      <w:r>
        <w:rPr>
          <w:rFonts w:ascii="Times New Roman" w:hAnsi="Times New Roman"/>
          <w:sz w:val="24"/>
        </w:rPr>
        <w:t>2) объектов, для строительства или реконструкции которых не требуется получение разрешения на строительство;</w:t>
      </w:r>
    </w:p>
    <w:p w14:paraId="79000000">
      <w:pPr>
        <w:spacing w:line="240" w:lineRule="auto"/>
        <w:ind w:firstLine="709" w:left="0"/>
        <w:jc w:val="left"/>
        <w:rPr>
          <w:rFonts w:ascii="Times New Roman" w:hAnsi="Times New Roman"/>
          <w:sz w:val="24"/>
        </w:rPr>
      </w:pPr>
      <w:r>
        <w:rPr>
          <w:rFonts w:ascii="Times New Roman" w:hAnsi="Times New Roman"/>
          <w:sz w:val="24"/>
        </w:rPr>
        <w:t>3) объектов, расположенных на земельных участках, находящихся в пользовании учреждений, исполняющих наказание;</w:t>
      </w:r>
    </w:p>
    <w:p w14:paraId="7A000000">
      <w:pPr>
        <w:spacing w:line="240" w:lineRule="auto"/>
        <w:ind w:firstLine="709" w:left="0"/>
        <w:jc w:val="left"/>
        <w:rPr>
          <w:rFonts w:ascii="Times New Roman" w:hAnsi="Times New Roman"/>
          <w:sz w:val="24"/>
        </w:rPr>
      </w:pPr>
      <w:r>
        <w:rPr>
          <w:rFonts w:ascii="Times New Roman" w:hAnsi="Times New Roman"/>
          <w:sz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B000000">
      <w:pPr>
        <w:spacing w:line="240" w:lineRule="auto"/>
        <w:ind w:firstLine="709" w:left="0"/>
        <w:jc w:val="left"/>
        <w:rPr>
          <w:rFonts w:ascii="Times New Roman" w:hAnsi="Times New Roman"/>
          <w:sz w:val="24"/>
        </w:rPr>
      </w:pPr>
      <w:r>
        <w:rPr>
          <w:rFonts w:ascii="Times New Roman" w:hAnsi="Times New Roman"/>
          <w:sz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7C000000">
      <w:pPr>
        <w:spacing w:line="240" w:lineRule="auto"/>
        <w:ind w:firstLine="709" w:left="0"/>
        <w:jc w:val="left"/>
        <w:rPr>
          <w:rFonts w:ascii="Times New Roman" w:hAnsi="Times New Roman"/>
          <w:sz w:val="24"/>
        </w:rPr>
      </w:pPr>
      <w:r>
        <w:rPr>
          <w:rFonts w:ascii="Times New Roman" w:hAnsi="Times New Roman"/>
        </w:rPr>
        <w:t xml:space="preserve"> а также в отношении: </w:t>
      </w:r>
    </w:p>
    <w:p w14:paraId="7D000000">
      <w:pPr>
        <w:spacing w:line="240" w:lineRule="auto"/>
        <w:ind w:firstLine="709" w:left="0"/>
        <w:jc w:val="left"/>
        <w:rPr>
          <w:rFonts w:ascii="Times New Roman" w:hAnsi="Times New Roman"/>
          <w:sz w:val="24"/>
        </w:rPr>
      </w:pPr>
      <w:r>
        <w:rPr>
          <w:rFonts w:ascii="Times New Roman" w:hAnsi="Times New Roman"/>
        </w:rPr>
        <w:t>6) гидротехнических сооружений;</w:t>
      </w:r>
    </w:p>
    <w:p w14:paraId="7E000000">
      <w:pPr>
        <w:spacing w:line="240" w:lineRule="auto"/>
        <w:ind w:firstLine="709" w:left="0"/>
        <w:jc w:val="left"/>
        <w:rPr>
          <w:rFonts w:ascii="Times New Roman" w:hAnsi="Times New Roman"/>
          <w:sz w:val="24"/>
        </w:rPr>
      </w:pPr>
      <w:r>
        <w:rPr>
          <w:rFonts w:ascii="Times New Roman" w:hAnsi="Times New Roman"/>
        </w:rPr>
        <w:t xml:space="preserve">7) объектов и инженерных сооружений, предназначенных для производства и поставок товаров в сферах </w:t>
      </w:r>
      <w:r>
        <w:rPr>
          <w:rFonts w:ascii="Times New Roman" w:hAnsi="Times New Roman"/>
        </w:rPr>
        <w:t>электр</w:t>
      </w:r>
      <w:r>
        <w:rPr>
          <w:rFonts w:ascii="Times New Roman" w:hAnsi="Times New Roman"/>
        </w:rPr>
        <w:t>о</w:t>
      </w:r>
      <w:r>
        <w:rPr>
          <w:rFonts w:ascii="Times New Roman" w:hAnsi="Times New Roman"/>
        </w:rPr>
        <w:t>-</w:t>
      </w:r>
      <w:r>
        <w:rPr>
          <w:rFonts w:ascii="Times New Roman" w:hAnsi="Times New Roman"/>
        </w:rPr>
        <w:t xml:space="preserve">, </w:t>
      </w:r>
      <w:r>
        <w:rPr>
          <w:rFonts w:ascii="Times New Roman" w:hAnsi="Times New Roman"/>
        </w:rPr>
        <w:t>газо</w:t>
      </w:r>
      <w:r>
        <w:rPr>
          <w:rFonts w:ascii="Times New Roman" w:hAnsi="Times New Roman"/>
        </w:rPr>
        <w:t>-, тепло-, водоснабжения и водоотведения;</w:t>
      </w:r>
    </w:p>
    <w:p w14:paraId="7F000000">
      <w:pPr>
        <w:spacing w:line="240" w:lineRule="auto"/>
        <w:ind w:firstLine="709" w:left="0"/>
        <w:jc w:val="left"/>
        <w:rPr>
          <w:rFonts w:ascii="Times New Roman" w:hAnsi="Times New Roman"/>
          <w:sz w:val="24"/>
        </w:rPr>
      </w:pPr>
      <w:r>
        <w:rPr>
          <w:rFonts w:ascii="Times New Roman" w:hAnsi="Times New Roman"/>
        </w:rPr>
        <w:t>8) подземных сооружений;</w:t>
      </w:r>
    </w:p>
    <w:p w14:paraId="80000000">
      <w:pPr>
        <w:spacing w:line="240" w:lineRule="auto"/>
        <w:ind w:firstLine="709" w:left="0"/>
        <w:jc w:val="left"/>
        <w:rPr>
          <w:rFonts w:ascii="Times New Roman" w:hAnsi="Times New Roman"/>
          <w:sz w:val="24"/>
        </w:rPr>
      </w:pPr>
      <w:r>
        <w:rPr>
          <w:rFonts w:ascii="Times New Roman" w:hAnsi="Times New Roman"/>
        </w:rPr>
        <w:t>9)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81000000">
      <w:pPr>
        <w:spacing w:after="0" w:before="0" w:line="240" w:lineRule="auto"/>
        <w:ind w:firstLine="709" w:left="0"/>
        <w:jc w:val="left"/>
        <w:rPr>
          <w:rFonts w:ascii="Times New Roman" w:hAnsi="Times New Roman"/>
          <w:sz w:val="24"/>
        </w:rPr>
      </w:pPr>
      <w:r>
        <w:rPr>
          <w:rFonts w:ascii="Times New Roman" w:hAnsi="Times New Roman"/>
        </w:rPr>
        <w:t>10)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82000000">
      <w:pPr>
        <w:pStyle w:val="Style_11"/>
        <w:spacing w:after="0" w:before="0" w:line="240" w:lineRule="auto"/>
        <w:ind w:firstLine="709" w:left="0"/>
        <w:jc w:val="both"/>
      </w:pPr>
      <w:r>
        <w:t>11) объектов капитального строительства, предназначенных для обезвреживания, размещения и утилизации медицинских отходов;</w:t>
      </w:r>
    </w:p>
    <w:p w14:paraId="83000000">
      <w:pPr>
        <w:pStyle w:val="Style_11"/>
        <w:spacing w:after="0" w:before="0" w:line="240" w:lineRule="auto"/>
        <w:ind w:firstLine="709" w:left="0"/>
        <w:jc w:val="both"/>
      </w:pPr>
      <w:r>
        <w:t>12) объектов капитального строительства, предназначенных для хранения, переработки и утилизации биологических отходов;</w:t>
      </w:r>
    </w:p>
    <w:p w14:paraId="84000000">
      <w:pPr>
        <w:pStyle w:val="Style_11"/>
        <w:spacing w:after="0" w:before="0" w:line="240" w:lineRule="auto"/>
        <w:ind w:firstLine="709" w:left="0"/>
        <w:jc w:val="both"/>
      </w:pPr>
      <w:r>
        <w:t>13) объектов капитального строительства, связанных с обращением с радиоактивными отходами;</w:t>
      </w:r>
    </w:p>
    <w:p w14:paraId="85000000">
      <w:pPr>
        <w:pStyle w:val="Style_11"/>
        <w:spacing w:after="0" w:before="0" w:line="240" w:lineRule="auto"/>
        <w:ind w:firstLine="709" w:left="0"/>
        <w:jc w:val="both"/>
      </w:pPr>
      <w:r>
        <w:t>14) объектов капитального строительства, связанных с обращением веществ, разрушающих озоновый слой;</w:t>
      </w:r>
    </w:p>
    <w:p w14:paraId="86000000">
      <w:pPr>
        <w:pStyle w:val="Style_11"/>
        <w:spacing w:after="0" w:before="0" w:line="240" w:lineRule="auto"/>
        <w:ind w:firstLine="709" w:left="0"/>
        <w:jc w:val="both"/>
      </w:pPr>
      <w:r>
        <w:t>15) объектов использования атомной энергии;</w:t>
      </w:r>
    </w:p>
    <w:p w14:paraId="87000000">
      <w:pPr>
        <w:pStyle w:val="Style_11"/>
        <w:spacing w:after="0" w:before="0" w:line="240" w:lineRule="auto"/>
        <w:ind w:firstLine="709" w:left="0"/>
        <w:jc w:val="both"/>
      </w:pPr>
      <w:r>
        <w:t>16) опасных производственных объектов, определяемых в соответствии с законодательством Российской Федерации.</w:t>
      </w:r>
    </w:p>
    <w:p w14:paraId="88000000">
      <w:pPr>
        <w:pStyle w:val="Style_12"/>
        <w:spacing w:after="0" w:before="0" w:line="240" w:lineRule="auto"/>
        <w:ind w:firstLine="709" w:left="0"/>
        <w:jc w:val="both"/>
        <w:rPr>
          <w:rFonts w:ascii="Times New Roman" w:hAnsi="Times New Roman"/>
          <w:sz w:val="24"/>
        </w:rPr>
      </w:pPr>
      <w:r>
        <w:rPr>
          <w:rFonts w:ascii="Times New Roman" w:hAnsi="Times New Roman"/>
          <w:sz w:val="24"/>
        </w:rPr>
        <w:t>6. Действие требований к архитектурно-градостроительному облику объекта капитального строительства распространяется на объекты капитального строительства и земельные участки, расположенные в территориальных зонах в которых в соответствии с градостроительным регламентом разрешено строительство объектов капитального строительства.</w:t>
      </w:r>
    </w:p>
    <w:p w14:paraId="89000000">
      <w:pPr>
        <w:pStyle w:val="Style_3"/>
        <w:spacing w:after="0" w:before="0" w:line="240" w:lineRule="auto"/>
        <w:ind w:firstLine="709" w:left="0"/>
        <w:jc w:val="both"/>
        <w:rPr>
          <w:rFonts w:ascii="Times New Roman" w:hAnsi="Times New Roman"/>
          <w:color w:val="000000"/>
          <w:sz w:val="24"/>
        </w:rPr>
      </w:pPr>
      <w:r>
        <w:rPr>
          <w:rFonts w:ascii="Times New Roman" w:hAnsi="Times New Roman"/>
          <w:color w:val="000000"/>
          <w:sz w:val="24"/>
        </w:rPr>
        <w:t xml:space="preserve">7. </w:t>
      </w:r>
      <w:r>
        <w:rPr>
          <w:rFonts w:ascii="Times New Roman" w:hAnsi="Times New Roman"/>
          <w:b w:val="0"/>
          <w:i w:val="0"/>
          <w:caps w:val="0"/>
          <w:color w:val="000000"/>
          <w:spacing w:val="0"/>
          <w:sz w:val="24"/>
        </w:rPr>
        <w:t>Границы территорий, в отношении которых действуют требования к архитектурно-градостроительному облику объекта капитального строительства, совпадают с границами территориальных зон, утвержденных в составе Правил землепользования и застройки муниципального образования «Дедовичи».</w:t>
      </w:r>
      <w:r>
        <w:rPr>
          <w:rFonts w:ascii="Times New Roman" w:hAnsi="Times New Roman"/>
          <w:color w:val="000000"/>
          <w:sz w:val="24"/>
        </w:rPr>
        <w:br/>
      </w:r>
      <w:r>
        <w:rPr>
          <w:rFonts w:ascii="Times New Roman" w:hAnsi="Times New Roman"/>
          <w:b w:val="0"/>
          <w:i w:val="0"/>
          <w:caps w:val="0"/>
          <w:color w:val="000000"/>
          <w:spacing w:val="0"/>
          <w:sz w:val="24"/>
        </w:rPr>
        <w:t>При установлении требований к архитектурно-градостроительному облику объекта капитального строительства в границах территориальных зон, совпадающих с границами исторических поселений, подлежат учету требования к архитектурным решениям объектов капитального строительства, установленные в соответствии с частью 2.1 статьи 38 Градостроительного кодекса Российской Федерации.</w:t>
      </w:r>
    </w:p>
    <w:p w14:paraId="8A000000">
      <w:pPr>
        <w:pStyle w:val="Style_3"/>
        <w:spacing w:after="0" w:before="0" w:line="240" w:lineRule="auto"/>
        <w:ind w:firstLine="709" w:left="0"/>
        <w:jc w:val="both"/>
        <w:rPr>
          <w:rFonts w:ascii="Times New Roman" w:hAnsi="Times New Roman"/>
          <w:sz w:val="24"/>
        </w:rPr>
      </w:pPr>
    </w:p>
    <w:p w14:paraId="8B000000">
      <w:pPr>
        <w:pStyle w:val="Style_3"/>
        <w:spacing w:line="240" w:lineRule="auto"/>
        <w:ind w:firstLine="0" w:left="0"/>
        <w:jc w:val="both"/>
        <w:rPr>
          <w:rFonts w:ascii="Times New Roman" w:hAnsi="Times New Roman"/>
          <w:sz w:val="24"/>
        </w:rPr>
      </w:pPr>
    </w:p>
    <w:p w14:paraId="8C000000">
      <w:pPr>
        <w:pStyle w:val="Style_6"/>
        <w:spacing w:line="240" w:lineRule="auto"/>
        <w:ind w:firstLine="709" w:left="0"/>
        <w:rPr>
          <w:b w:val="1"/>
          <w:color w:val="000000"/>
          <w:sz w:val="24"/>
        </w:rPr>
      </w:pPr>
      <w:r>
        <w:rPr>
          <w:b w:val="1"/>
          <w:color w:val="000000"/>
          <w:sz w:val="24"/>
        </w:rPr>
        <w:t>Статья 50.2. Описание требований к архитектурно-градостроительному облику объектов капитального строительства</w:t>
      </w:r>
    </w:p>
    <w:p w14:paraId="8D000000">
      <w:pPr>
        <w:pStyle w:val="Style_6"/>
        <w:spacing w:line="240" w:lineRule="auto"/>
        <w:ind w:firstLine="0" w:left="0"/>
        <w:rPr>
          <w:color w:val="0000FF"/>
        </w:rPr>
      </w:pPr>
    </w:p>
    <w:p w14:paraId="8E000000">
      <w:pPr>
        <w:pStyle w:val="Style_3"/>
        <w:spacing w:line="240" w:lineRule="auto"/>
        <w:ind w:firstLine="0" w:left="0"/>
        <w:jc w:val="both"/>
        <w:rPr>
          <w:rFonts w:ascii="Times New Roman" w:hAnsi="Times New Roman"/>
          <w:sz w:val="24"/>
        </w:rPr>
      </w:pPr>
    </w:p>
    <w:tbl>
      <w:tblPr>
        <w:tblStyle w:val="Style_1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99"/>
        <w:gridCol w:w="3603"/>
        <w:gridCol w:w="4953"/>
      </w:tblGrid>
      <w:tr>
        <w:tc>
          <w:tcPr>
            <w:tcW w:type="dxa" w:w="799"/>
            <w:tcBorders>
              <w:top w:color="000000" w:sz="4" w:val="single"/>
              <w:left w:color="000000" w:sz="4" w:val="single"/>
              <w:bottom w:color="000000" w:sz="4" w:val="single"/>
              <w:right w:color="000000" w:sz="4" w:val="single"/>
            </w:tcBorders>
          </w:tcPr>
          <w:p w14:paraId="8F000000">
            <w:pPr>
              <w:pStyle w:val="Style_3"/>
              <w:spacing w:line="240" w:lineRule="auto"/>
              <w:ind w:firstLine="0" w:left="0"/>
              <w:jc w:val="center"/>
              <w:rPr>
                <w:rFonts w:ascii="Times New Roman" w:hAnsi="Times New Roman"/>
                <w:sz w:val="24"/>
              </w:rPr>
            </w:pPr>
            <w:r>
              <w:rPr>
                <w:rFonts w:ascii="Times New Roman" w:hAnsi="Times New Roman"/>
                <w:sz w:val="24"/>
              </w:rPr>
              <w:t>№</w:t>
            </w:r>
          </w:p>
          <w:p w14:paraId="90000000">
            <w:pPr>
              <w:pStyle w:val="Style_3"/>
              <w:spacing w:line="240" w:lineRule="auto"/>
              <w:ind w:firstLine="0" w:left="0"/>
              <w:jc w:val="center"/>
              <w:rPr>
                <w:rFonts w:ascii="Times New Roman" w:hAnsi="Times New Roman"/>
                <w:sz w:val="24"/>
              </w:rPr>
            </w:pPr>
            <w:r>
              <w:rPr>
                <w:rFonts w:ascii="Times New Roman" w:hAnsi="Times New Roman"/>
                <w:sz w:val="24"/>
              </w:rPr>
              <w:t>п.п.</w:t>
            </w:r>
          </w:p>
        </w:tc>
        <w:tc>
          <w:tcPr>
            <w:tcW w:type="dxa" w:w="3603"/>
            <w:tcBorders>
              <w:top w:color="000000" w:sz="4" w:val="single"/>
              <w:left w:color="000000" w:sz="4" w:val="single"/>
              <w:bottom w:color="000000" w:sz="4" w:val="single"/>
              <w:right w:color="000000" w:sz="4" w:val="single"/>
            </w:tcBorders>
          </w:tcPr>
          <w:p w14:paraId="91000000">
            <w:pPr>
              <w:pStyle w:val="Style_3"/>
              <w:spacing w:line="240" w:lineRule="auto"/>
              <w:ind w:firstLine="0" w:left="0"/>
              <w:jc w:val="center"/>
              <w:rPr>
                <w:rFonts w:ascii="Times New Roman" w:hAnsi="Times New Roman"/>
                <w:sz w:val="24"/>
              </w:rPr>
            </w:pPr>
            <w:r>
              <w:rPr>
                <w:rFonts w:ascii="Times New Roman" w:hAnsi="Times New Roman"/>
                <w:sz w:val="24"/>
              </w:rPr>
              <w:t>Наименование требований к архитектурно-градостроительному облику объектов капитального строительства</w:t>
            </w:r>
          </w:p>
        </w:tc>
        <w:tc>
          <w:tcPr>
            <w:tcW w:type="dxa" w:w="4953"/>
            <w:tcBorders>
              <w:top w:color="000000" w:sz="4" w:val="single"/>
              <w:left w:color="000000" w:sz="4" w:val="single"/>
              <w:bottom w:color="000000" w:sz="4" w:val="single"/>
              <w:right w:color="000000" w:sz="4" w:val="single"/>
            </w:tcBorders>
          </w:tcPr>
          <w:p w14:paraId="92000000">
            <w:pPr>
              <w:pStyle w:val="Style_3"/>
              <w:spacing w:line="240" w:lineRule="auto"/>
              <w:ind w:firstLine="0" w:left="0"/>
              <w:jc w:val="center"/>
              <w:rPr>
                <w:rFonts w:ascii="Times New Roman" w:hAnsi="Times New Roman"/>
                <w:sz w:val="24"/>
              </w:rPr>
            </w:pPr>
            <w:r>
              <w:rPr>
                <w:rFonts w:ascii="Times New Roman" w:hAnsi="Times New Roman"/>
                <w:sz w:val="24"/>
              </w:rPr>
              <w:t>Описание требований к архитектурно-градостроительному облику объектов капитального строительства</w:t>
            </w:r>
          </w:p>
        </w:tc>
      </w:tr>
      <w:tr>
        <w:tc>
          <w:tcPr>
            <w:tcW w:type="dxa" w:w="799"/>
            <w:tcBorders>
              <w:top w:color="000000" w:sz="4" w:val="single"/>
              <w:left w:color="000000" w:sz="4" w:val="single"/>
              <w:bottom w:color="000000" w:sz="4" w:val="single"/>
              <w:right w:color="000000" w:sz="4" w:val="single"/>
            </w:tcBorders>
          </w:tcPr>
          <w:p w14:paraId="93000000">
            <w:pPr>
              <w:pStyle w:val="Style_3"/>
              <w:spacing w:line="240" w:lineRule="auto"/>
              <w:ind w:firstLine="0" w:left="0"/>
              <w:jc w:val="center"/>
              <w:rPr>
                <w:rFonts w:ascii="Times New Roman" w:hAnsi="Times New Roman"/>
                <w:sz w:val="24"/>
              </w:rPr>
            </w:pPr>
            <w:r>
              <w:rPr>
                <w:rFonts w:ascii="Times New Roman" w:hAnsi="Times New Roman"/>
                <w:sz w:val="24"/>
              </w:rPr>
              <w:t>1</w:t>
            </w:r>
          </w:p>
        </w:tc>
        <w:tc>
          <w:tcPr>
            <w:tcW w:type="dxa" w:w="3603"/>
            <w:tcBorders>
              <w:top w:color="000000" w:sz="4" w:val="single"/>
              <w:left w:color="000000" w:sz="4" w:val="single"/>
              <w:bottom w:color="000000" w:sz="4" w:val="single"/>
              <w:right w:color="000000" w:sz="4" w:val="single"/>
            </w:tcBorders>
          </w:tcPr>
          <w:p w14:paraId="94000000">
            <w:pPr>
              <w:pStyle w:val="Style_3"/>
              <w:spacing w:line="240" w:lineRule="auto"/>
              <w:ind w:firstLine="0" w:left="0"/>
              <w:jc w:val="center"/>
              <w:rPr>
                <w:rFonts w:ascii="Times New Roman" w:hAnsi="Times New Roman"/>
                <w:sz w:val="24"/>
              </w:rPr>
            </w:pPr>
            <w:r>
              <w:rPr>
                <w:rFonts w:ascii="Times New Roman" w:hAnsi="Times New Roman"/>
                <w:sz w:val="24"/>
              </w:rPr>
              <w:t>2</w:t>
            </w:r>
          </w:p>
        </w:tc>
        <w:tc>
          <w:tcPr>
            <w:tcW w:type="dxa" w:w="4953"/>
            <w:tcBorders>
              <w:top w:color="000000" w:sz="4" w:val="single"/>
              <w:left w:color="000000" w:sz="4" w:val="single"/>
              <w:bottom w:color="000000" w:sz="4" w:val="single"/>
              <w:right w:color="000000" w:sz="4" w:val="single"/>
            </w:tcBorders>
          </w:tcPr>
          <w:p w14:paraId="95000000">
            <w:pPr>
              <w:pStyle w:val="Style_3"/>
              <w:spacing w:line="240" w:lineRule="auto"/>
              <w:ind w:firstLine="0" w:left="0"/>
              <w:jc w:val="center"/>
              <w:rPr>
                <w:rFonts w:ascii="Times New Roman" w:hAnsi="Times New Roman"/>
                <w:sz w:val="24"/>
              </w:rPr>
            </w:pPr>
            <w:r>
              <w:rPr>
                <w:rFonts w:ascii="Times New Roman" w:hAnsi="Times New Roman"/>
                <w:sz w:val="24"/>
              </w:rPr>
              <w:t>3</w:t>
            </w:r>
          </w:p>
        </w:tc>
      </w:tr>
      <w:tr>
        <w:trPr>
          <w:trHeight w:hRule="atLeast" w:val="1863"/>
        </w:trPr>
        <w:tc>
          <w:tcPr>
            <w:tcW w:type="dxa" w:w="799"/>
            <w:tcBorders>
              <w:top w:color="000000" w:sz="4" w:val="single"/>
              <w:left w:color="000000" w:sz="4" w:val="single"/>
              <w:bottom w:color="000000" w:sz="4" w:val="single"/>
              <w:right w:color="000000" w:sz="4" w:val="single"/>
            </w:tcBorders>
          </w:tcPr>
          <w:p w14:paraId="96000000">
            <w:pPr>
              <w:pStyle w:val="Style_3"/>
              <w:spacing w:line="240" w:lineRule="auto"/>
              <w:ind w:firstLine="0" w:left="0"/>
              <w:jc w:val="both"/>
              <w:rPr>
                <w:rFonts w:ascii="Times New Roman" w:hAnsi="Times New Roman"/>
                <w:sz w:val="24"/>
              </w:rPr>
            </w:pPr>
            <w:r>
              <w:rPr>
                <w:rFonts w:ascii="Times New Roman" w:hAnsi="Times New Roman"/>
                <w:sz w:val="24"/>
              </w:rPr>
              <w:t>1.</w:t>
            </w:r>
          </w:p>
        </w:tc>
        <w:tc>
          <w:tcPr>
            <w:tcW w:type="dxa" w:w="3603"/>
            <w:tcBorders>
              <w:top w:color="000000" w:sz="4" w:val="single"/>
              <w:left w:color="000000" w:sz="4" w:val="single"/>
              <w:bottom w:color="000000" w:sz="4" w:val="single"/>
              <w:right w:color="000000" w:sz="4" w:val="single"/>
            </w:tcBorders>
          </w:tcPr>
          <w:p w14:paraId="97000000">
            <w:pPr>
              <w:pStyle w:val="Style_3"/>
              <w:spacing w:line="240" w:lineRule="auto"/>
              <w:ind w:firstLine="0" w:left="0"/>
              <w:jc w:val="both"/>
              <w:rPr>
                <w:rFonts w:ascii="Times New Roman" w:hAnsi="Times New Roman"/>
                <w:sz w:val="24"/>
              </w:rPr>
            </w:pPr>
            <w:r>
              <w:rPr>
                <w:rFonts w:ascii="Times New Roman" w:hAnsi="Times New Roman"/>
                <w:sz w:val="24"/>
              </w:rPr>
              <w:t>Требования к объёмно-пространственным характеристикам объектов капитального строительства</w:t>
            </w:r>
          </w:p>
        </w:tc>
        <w:tc>
          <w:tcPr>
            <w:tcW w:type="dxa" w:w="4953"/>
            <w:tcBorders>
              <w:top w:color="000000" w:sz="4" w:val="single"/>
              <w:left w:color="000000" w:sz="4" w:val="single"/>
              <w:bottom w:color="000000" w:sz="4" w:val="single"/>
              <w:right w:color="000000" w:sz="4" w:val="single"/>
            </w:tcBorders>
          </w:tcPr>
          <w:p w14:paraId="98000000">
            <w:pPr>
              <w:pStyle w:val="Style_14"/>
              <w:spacing w:after="0" w:before="0" w:line="240" w:lineRule="auto"/>
              <w:ind w:firstLine="0" w:left="0"/>
              <w:rPr>
                <w:sz w:val="24"/>
              </w:rPr>
            </w:pPr>
            <w:r>
              <w:rPr>
                <w:sz w:val="24"/>
              </w:rPr>
              <w:t>1.1. Требования к объёмно-пространственным характеристикам жилых зданий</w:t>
            </w:r>
          </w:p>
          <w:p w14:paraId="99000000">
            <w:pPr>
              <w:pStyle w:val="Style_14"/>
              <w:spacing w:after="0" w:before="0" w:line="240" w:lineRule="auto"/>
              <w:ind w:firstLine="0" w:left="0"/>
              <w:rPr>
                <w:sz w:val="24"/>
              </w:rPr>
            </w:pPr>
            <w:r>
              <w:rPr>
                <w:sz w:val="24"/>
              </w:rPr>
              <w:t>1.1.1. При формировании фасадных и объёмно-планировочных решений жилых зданий должны учитываться характер и структура окружающей застройки.</w:t>
            </w:r>
          </w:p>
          <w:p w14:paraId="9A000000">
            <w:pPr>
              <w:pStyle w:val="Style_11"/>
              <w:spacing w:after="0" w:before="0" w:line="240" w:lineRule="auto"/>
              <w:ind w:firstLine="0" w:left="0"/>
              <w:jc w:val="both"/>
            </w:pPr>
            <w:r>
              <w:t>Также при проектировании должны быть приняты во внимание общепринятые приёмы архитектурно-художественной композиции объёмно-пространственного построения зданий: симметрия-асимметрия, геометрическое подобие, сомасштабность.</w:t>
            </w:r>
          </w:p>
          <w:p w14:paraId="9B000000">
            <w:pPr>
              <w:pStyle w:val="Style_11"/>
              <w:spacing w:after="0" w:before="0" w:line="240" w:lineRule="auto"/>
              <w:ind w:firstLine="0" w:left="0"/>
              <w:jc w:val="both"/>
            </w:pPr>
            <w:r>
              <w:t xml:space="preserve">1.1.2. Форма жилого здания формируется с учётом конфигурации земельного участка, входящего в состав жилой группы, квартала                              и зависит от типа застройки квартала. Квартал застройки может иметь различную планировочную структуру. </w:t>
            </w:r>
          </w:p>
          <w:p w14:paraId="9C000000">
            <w:pPr>
              <w:pStyle w:val="Style_11"/>
              <w:spacing w:after="0" w:before="0" w:line="240" w:lineRule="auto"/>
              <w:ind w:firstLine="0" w:left="0"/>
              <w:jc w:val="both"/>
              <w:rPr>
                <w:b w:val="1"/>
                <w:color w:val="0000FF"/>
              </w:rPr>
            </w:pPr>
            <w:r>
              <w:t xml:space="preserve">Типы планировочной структуры квартала изложены в </w:t>
            </w:r>
            <w:r>
              <w:rPr>
                <w:b w:val="0"/>
                <w:color w:val="000000"/>
              </w:rPr>
              <w:t xml:space="preserve">пункте 1.1.15. </w:t>
            </w:r>
          </w:p>
          <w:p w14:paraId="9D000000">
            <w:pPr>
              <w:pStyle w:val="Style_11"/>
              <w:spacing w:after="0" w:before="0" w:line="240" w:lineRule="auto"/>
              <w:ind w:firstLine="0" w:left="0"/>
              <w:jc w:val="both"/>
            </w:pPr>
            <w:r>
              <w:t>1.1.3. Высота жилых помещений должна быть не менее 2,65 м.</w:t>
            </w:r>
          </w:p>
          <w:p w14:paraId="9E000000">
            <w:pPr>
              <w:pStyle w:val="Style_14"/>
              <w:spacing w:after="0" w:before="0" w:line="240" w:lineRule="auto"/>
              <w:ind w:firstLine="0" w:left="0"/>
              <w:rPr>
                <w:sz w:val="24"/>
              </w:rPr>
            </w:pPr>
            <w:r>
              <w:rPr>
                <w:sz w:val="24"/>
              </w:rPr>
              <w:t>1.1.4. На первых этажах жилых зданий могут размещаться встроенные и встроенно-пристроенные помещения общественного назначения. Входы в указанные помещения должны быть размещены                с наружной стороны здания со стороны улично-дорожной сети квартала.</w:t>
            </w:r>
          </w:p>
          <w:p w14:paraId="9F000000">
            <w:pPr>
              <w:pStyle w:val="Style_14"/>
              <w:spacing w:after="0" w:before="0" w:line="240" w:lineRule="auto"/>
              <w:ind w:firstLine="0" w:left="0"/>
              <w:rPr>
                <w:sz w:val="24"/>
                <w:highlight w:val="white"/>
              </w:rPr>
            </w:pPr>
            <w:r>
              <w:rPr>
                <w:sz w:val="24"/>
                <w:highlight w:val="white"/>
              </w:rPr>
              <w:t xml:space="preserve">1.1.5. </w:t>
            </w:r>
            <w:r>
              <w:rPr>
                <w:sz w:val="24"/>
              </w:rPr>
              <w:t>При проектировании входных групп необходимо предусматривать индивидуализацию - разделение по функциональному назначению входных групп для жильцов, посетителей и работников, встроенных и встроенно-пристроенных помещений общественного назначения, а также технических, эвакуационных выходов.</w:t>
            </w:r>
          </w:p>
          <w:p w14:paraId="A0000000">
            <w:pPr>
              <w:pStyle w:val="Style_11"/>
              <w:spacing w:after="0" w:before="0" w:line="240" w:lineRule="auto"/>
              <w:ind w:firstLine="0" w:left="0"/>
              <w:jc w:val="both"/>
            </w:pPr>
            <w:r>
              <w:t>1.1.6. При проектировании входных групп в жилые помещения,               а также во встроенные и встроенно-пристроенные помещения общественного назначения, должны быть обеспечены условия доступа для маломобильных групп населения путём создания безбарьерной среды, а именно обеспечение единого уровня отметок пола этажа                    без перепадов уровней между вестибюльно-входной группой и входами в лифт.</w:t>
            </w:r>
          </w:p>
          <w:p w14:paraId="A1000000">
            <w:pPr>
              <w:pStyle w:val="Style_11"/>
              <w:spacing w:after="0" w:before="0" w:line="240" w:lineRule="auto"/>
              <w:ind w:firstLine="0" w:left="0"/>
              <w:jc w:val="both"/>
            </w:pPr>
            <w:r>
              <w:t xml:space="preserve">1.1.7. В первых этажах жилых зданий должны быть предусмотрены сквозные проходы, соединяющие территории общего пользования с внутридворовыми территориями. </w:t>
            </w:r>
          </w:p>
          <w:p w14:paraId="A2000000">
            <w:pPr>
              <w:pStyle w:val="Style_11"/>
              <w:spacing w:after="0" w:before="0" w:line="240" w:lineRule="auto"/>
              <w:ind w:firstLine="0" w:left="0"/>
              <w:jc w:val="both"/>
            </w:pPr>
            <w:r>
              <w:t>1.1.8. Высота помещений во встроенных и встроенно-пристроенных помещениях общественного назначения первого этажа должна быть не менее 4,2 м от нулевой отметки первого этажа                          до уровня пола второго этажа.</w:t>
            </w:r>
          </w:p>
          <w:p w14:paraId="A3000000">
            <w:pPr>
              <w:pStyle w:val="Style_11"/>
              <w:spacing w:after="0" w:before="0" w:line="240" w:lineRule="auto"/>
              <w:ind w:firstLine="0" w:left="0"/>
              <w:jc w:val="both"/>
            </w:pPr>
            <w:r>
              <w:t>1.1.9. Балконы и лоджии должны быть остеклены.</w:t>
            </w:r>
          </w:p>
          <w:p w14:paraId="A4000000">
            <w:pPr>
              <w:pStyle w:val="Style_11"/>
              <w:spacing w:after="0" w:before="0" w:line="240" w:lineRule="auto"/>
              <w:ind w:firstLine="0" w:left="0"/>
              <w:jc w:val="both"/>
            </w:pPr>
            <w:r>
              <w:t xml:space="preserve">1.1.10. В отделке входных дверей в жилую часть и часть, где располагаются встроенные и встроенно-пристроенные помещения </w:t>
            </w:r>
            <w:r>
              <w:t>общественного назначения, необходимо использовать светопрозрачные вандалостойкие конструкции.</w:t>
            </w:r>
          </w:p>
          <w:p w14:paraId="A5000000">
            <w:pPr>
              <w:pStyle w:val="Style_11"/>
              <w:spacing w:after="0" w:before="0" w:line="240" w:lineRule="auto"/>
              <w:ind w:firstLine="0" w:left="0"/>
              <w:jc w:val="both"/>
            </w:pPr>
            <w:r>
              <w:t>1.1.11. Архитектурно - градостроительный облик жилого здания должен соответствовать его назначению.</w:t>
            </w:r>
          </w:p>
          <w:p w14:paraId="A6000000">
            <w:pPr>
              <w:pStyle w:val="Style_14"/>
              <w:spacing w:after="0" w:before="0" w:line="240" w:lineRule="auto"/>
              <w:ind w:firstLine="0" w:left="0"/>
              <w:rPr>
                <w:sz w:val="24"/>
              </w:rPr>
            </w:pPr>
            <w:r>
              <w:rPr>
                <w:sz w:val="24"/>
              </w:rPr>
              <w:t>1.1.12. Жилая застройка должна быть обеспечена необходимыми объектами социально-культурного и коммунально-бытового назначения, площадками благоустройства общего пользования, автомобильными стоянками.</w:t>
            </w:r>
          </w:p>
          <w:p w14:paraId="A7000000">
            <w:pPr>
              <w:pStyle w:val="Style_14"/>
              <w:spacing w:after="0" w:before="0" w:line="240" w:lineRule="auto"/>
              <w:ind w:firstLine="0" w:left="0"/>
              <w:rPr>
                <w:sz w:val="24"/>
              </w:rPr>
            </w:pPr>
            <w:r>
              <w:rPr>
                <w:sz w:val="24"/>
              </w:rPr>
              <w:t xml:space="preserve">1.1.13. Планировочная структура жилой застройки должна формироваться путём разграничения территорий общего пользования                      и внутридворовых территорий. </w:t>
            </w:r>
          </w:p>
          <w:p w14:paraId="A8000000">
            <w:pPr>
              <w:pStyle w:val="Style_14"/>
              <w:spacing w:after="0" w:before="0" w:line="240" w:lineRule="auto"/>
              <w:ind w:firstLine="0" w:left="0"/>
              <w:rPr>
                <w:sz w:val="24"/>
              </w:rPr>
            </w:pPr>
            <w:r>
              <w:rPr>
                <w:sz w:val="24"/>
              </w:rPr>
              <w:t>1.1.14. В документации по планировке территории, при формировании планировочной и объёмно-пространственной структуры многоквартирной жилой застройки должен использоваться основной принцип - деление территории                       на кварталы, состоящие из жилых групп, имеющих в своём составе внутридворовые территории.</w:t>
            </w:r>
          </w:p>
          <w:p w14:paraId="A9000000">
            <w:pPr>
              <w:pStyle w:val="Style_14"/>
              <w:spacing w:after="0" w:before="0" w:line="240" w:lineRule="auto"/>
              <w:ind w:firstLine="0" w:left="0"/>
              <w:rPr>
                <w:sz w:val="24"/>
              </w:rPr>
            </w:pPr>
            <w:r>
              <w:rPr>
                <w:sz w:val="24"/>
              </w:rPr>
              <w:t xml:space="preserve">1.1.15. Жилые группы, как составная часть квартала, могут иметь различную планировочную структуру: </w:t>
            </w:r>
          </w:p>
          <w:p w14:paraId="AA000000">
            <w:pPr>
              <w:pStyle w:val="Style_14"/>
              <w:spacing w:after="0" w:before="0" w:line="240" w:lineRule="auto"/>
              <w:ind w:firstLine="0" w:left="0"/>
              <w:rPr>
                <w:sz w:val="24"/>
              </w:rPr>
            </w:pPr>
            <w:r>
              <w:rPr>
                <w:sz w:val="24"/>
              </w:rPr>
              <w:t xml:space="preserve">- периметральная застройка; </w:t>
            </w:r>
          </w:p>
          <w:p w14:paraId="AB000000">
            <w:pPr>
              <w:pStyle w:val="Style_14"/>
              <w:spacing w:after="0" w:before="0" w:line="240" w:lineRule="auto"/>
              <w:ind w:firstLine="0" w:left="0"/>
              <w:rPr>
                <w:sz w:val="24"/>
              </w:rPr>
            </w:pPr>
            <w:r>
              <w:rPr>
                <w:sz w:val="24"/>
              </w:rPr>
              <w:t xml:space="preserve">- рядовая застройка; </w:t>
            </w:r>
          </w:p>
          <w:p w14:paraId="AC000000">
            <w:pPr>
              <w:pStyle w:val="Style_14"/>
              <w:spacing w:after="0" w:before="0" w:line="240" w:lineRule="auto"/>
              <w:ind w:firstLine="0" w:left="0"/>
              <w:rPr>
                <w:sz w:val="24"/>
              </w:rPr>
            </w:pPr>
            <w:r>
              <w:rPr>
                <w:sz w:val="24"/>
              </w:rPr>
              <w:t>- точечная застройка;</w:t>
            </w:r>
          </w:p>
          <w:p w14:paraId="AD000000">
            <w:pPr>
              <w:pStyle w:val="Style_14"/>
              <w:spacing w:after="0" w:before="0" w:line="240" w:lineRule="auto"/>
              <w:ind w:firstLine="0" w:left="0"/>
              <w:rPr>
                <w:sz w:val="24"/>
              </w:rPr>
            </w:pPr>
            <w:r>
              <w:rPr>
                <w:sz w:val="24"/>
              </w:rPr>
              <w:t>- комбинированная застройка.</w:t>
            </w:r>
          </w:p>
          <w:p w14:paraId="AE000000">
            <w:pPr>
              <w:pStyle w:val="Style_14"/>
              <w:spacing w:after="0" w:before="0" w:line="240" w:lineRule="auto"/>
              <w:ind w:firstLine="0" w:left="0"/>
              <w:rPr>
                <w:sz w:val="24"/>
              </w:rPr>
            </w:pPr>
            <w:r>
              <w:rPr>
                <w:sz w:val="24"/>
              </w:rPr>
              <w:t>1.1.16. При планировании внутридомовой территории должен соблюдаться принцип «двор без машин», исключающий заезд на неё автомобильного транспорта, за исключением автомобильного транспорта экстренных служб.</w:t>
            </w:r>
          </w:p>
          <w:p w14:paraId="AF000000">
            <w:pPr>
              <w:pStyle w:val="Style_14"/>
              <w:spacing w:after="0" w:before="0" w:line="240" w:lineRule="auto"/>
              <w:ind w:firstLine="0" w:left="0"/>
              <w:rPr>
                <w:sz w:val="24"/>
              </w:rPr>
            </w:pPr>
            <w:r>
              <w:rPr>
                <w:sz w:val="24"/>
              </w:rPr>
              <w:t xml:space="preserve">1.1.17. Площадки благоустройства, пешеходные дорожки внутридворовой территории,  входные группы в жилые помещения и помещения общественно-делового назначения должны быть связаны непрерывными пешеходными путями, </w:t>
            </w:r>
            <w:r>
              <w:rPr>
                <w:sz w:val="24"/>
              </w:rPr>
              <w:t>должны располагаться в плоскостях, не имеющих ступеней.</w:t>
            </w:r>
          </w:p>
          <w:p w14:paraId="B0000000">
            <w:pPr>
              <w:pStyle w:val="Style_14"/>
              <w:spacing w:after="0" w:before="0" w:line="240" w:lineRule="auto"/>
              <w:ind w:firstLine="0" w:left="0"/>
              <w:rPr>
                <w:sz w:val="24"/>
              </w:rPr>
            </w:pPr>
            <w:r>
              <w:rPr>
                <w:sz w:val="24"/>
              </w:rPr>
              <w:t>1.1.18. При проектировании улично-дорожной сети должны быть предусмотрены буферные зелёные зоны между тротуарами и проезжей частью улиц.</w:t>
            </w:r>
          </w:p>
          <w:p w14:paraId="B1000000">
            <w:pPr>
              <w:pStyle w:val="Style_14"/>
              <w:spacing w:after="0" w:before="0" w:line="240" w:lineRule="auto"/>
              <w:ind w:firstLine="0" w:left="0"/>
              <w:rPr>
                <w:sz w:val="24"/>
              </w:rPr>
            </w:pPr>
            <w:r>
              <w:rPr>
                <w:sz w:val="24"/>
              </w:rPr>
              <w:t>1.1.19. Размещение стоянок для автомобилей необходимо предусматривать с внешней стороны жилой ячейки в соответствии                      с требованиями Региональных нормативов градостроительного проектирования Псковской области, утвержденных постановлением Администрации Псковской области от 22.01.2013 № 18.</w:t>
            </w:r>
          </w:p>
          <w:p w14:paraId="B2000000">
            <w:pPr>
              <w:pStyle w:val="Style_14"/>
              <w:spacing w:after="0" w:before="0" w:line="240" w:lineRule="auto"/>
              <w:ind w:firstLine="0" w:left="0"/>
              <w:rPr>
                <w:sz w:val="24"/>
              </w:rPr>
            </w:pPr>
          </w:p>
        </w:tc>
      </w:tr>
      <w:tr>
        <w:tc>
          <w:tcPr>
            <w:tcW w:type="dxa" w:w="799"/>
            <w:tcBorders>
              <w:top w:color="000000" w:sz="4" w:val="single"/>
              <w:left w:color="000000" w:sz="4" w:val="single"/>
              <w:bottom w:color="000000" w:sz="4" w:val="single"/>
              <w:right w:color="000000" w:sz="4" w:val="single"/>
            </w:tcBorders>
          </w:tcPr>
          <w:p w14:paraId="B3000000">
            <w:pPr>
              <w:pStyle w:val="Style_3"/>
              <w:spacing w:line="240" w:lineRule="auto"/>
              <w:ind w:firstLine="0" w:left="0"/>
              <w:jc w:val="center"/>
              <w:rPr>
                <w:rFonts w:ascii="Times New Roman" w:hAnsi="Times New Roman"/>
                <w:sz w:val="24"/>
              </w:rPr>
            </w:pPr>
          </w:p>
        </w:tc>
        <w:tc>
          <w:tcPr>
            <w:tcW w:type="dxa" w:w="3603"/>
            <w:tcBorders>
              <w:top w:color="000000" w:sz="4" w:val="single"/>
              <w:left w:color="000000" w:sz="4" w:val="single"/>
              <w:bottom w:color="000000" w:sz="4" w:val="single"/>
              <w:right w:color="000000" w:sz="4" w:val="single"/>
            </w:tcBorders>
          </w:tcPr>
          <w:p w14:paraId="B4000000">
            <w:pPr>
              <w:pStyle w:val="Style_14"/>
              <w:spacing w:line="240" w:lineRule="auto"/>
              <w:ind w:firstLine="0" w:left="0"/>
              <w:rPr>
                <w:sz w:val="24"/>
              </w:rPr>
            </w:pPr>
          </w:p>
        </w:tc>
        <w:tc>
          <w:tcPr>
            <w:tcW w:type="dxa" w:w="4953"/>
            <w:tcBorders>
              <w:top w:color="000000" w:sz="4" w:val="single"/>
              <w:left w:color="000000" w:sz="4" w:val="single"/>
              <w:bottom w:color="000000" w:sz="4" w:val="single"/>
              <w:right w:color="000000" w:sz="4" w:val="single"/>
            </w:tcBorders>
          </w:tcPr>
          <w:p w14:paraId="B5000000">
            <w:pPr>
              <w:pStyle w:val="Style_14"/>
              <w:spacing w:line="240" w:lineRule="auto"/>
              <w:ind w:firstLine="0" w:left="0"/>
              <w:rPr>
                <w:sz w:val="24"/>
              </w:rPr>
            </w:pPr>
            <w:r>
              <w:rPr>
                <w:sz w:val="24"/>
              </w:rPr>
              <w:t>1.2.Требования к объёмно-пространственным характеристикам объектов нежилого назначения</w:t>
            </w:r>
          </w:p>
          <w:p w14:paraId="B6000000">
            <w:pPr>
              <w:pStyle w:val="Style_14"/>
              <w:spacing w:after="0" w:before="0" w:line="240" w:lineRule="auto"/>
              <w:ind w:firstLine="0" w:left="0"/>
              <w:rPr>
                <w:sz w:val="24"/>
              </w:rPr>
            </w:pPr>
            <w:r>
              <w:rPr>
                <w:sz w:val="24"/>
              </w:rPr>
              <w:t>1.2.1. Объёмно-пространственная структура зданий объектов нежилого назначения должна формироваться с учётом функционального назначения объекта, характера и структуры окружающей застройки.</w:t>
            </w:r>
          </w:p>
          <w:p w14:paraId="B7000000">
            <w:pPr>
              <w:pStyle w:val="Style_11"/>
              <w:spacing w:after="0" w:before="0" w:line="240" w:lineRule="auto"/>
              <w:ind w:firstLine="0" w:left="0"/>
              <w:jc w:val="both"/>
            </w:pPr>
            <w:r>
              <w:t>При проектировании должны быть приняты во внимание общепринятые приёмы архитектурно-художественной композиции объёмно-пространственного построения зданий: симметрия-асимметрия, геометрическое подобие, сомасштабность.</w:t>
            </w:r>
          </w:p>
          <w:p w14:paraId="B8000000">
            <w:pPr>
              <w:pStyle w:val="Style_14"/>
              <w:spacing w:after="0" w:before="0" w:line="240" w:lineRule="auto"/>
              <w:ind w:firstLine="0" w:left="0"/>
              <w:rPr>
                <w:sz w:val="24"/>
              </w:rPr>
            </w:pPr>
            <w:r>
              <w:rPr>
                <w:sz w:val="24"/>
              </w:rPr>
              <w:t>1.2.2. При проектировании входных групп необходимо предусматривать индивидуализацию - разделение по функциональному назначению входных групп главного входа, других входов в здание,                в том числе технических и эвакуационных выходов.</w:t>
            </w:r>
          </w:p>
          <w:p w14:paraId="B9000000">
            <w:pPr>
              <w:pStyle w:val="Style_11"/>
              <w:spacing w:after="0" w:before="0" w:line="240" w:lineRule="auto"/>
              <w:ind w:firstLine="0" w:left="0"/>
              <w:jc w:val="both"/>
            </w:pPr>
            <w:r>
              <w:t>1.2.3. Входные группы в помещения зданий нежилого назначения должны быть обеспечены условиями доступа для маломобильных групп населения путём создания безбарьерной среды, обеспечения единого уровня отметок пола этажа, отсутствия ступеней.</w:t>
            </w:r>
          </w:p>
          <w:p w14:paraId="BA000000">
            <w:pPr>
              <w:pStyle w:val="Style_14"/>
              <w:spacing w:after="0" w:before="0" w:line="240" w:lineRule="auto"/>
              <w:ind w:firstLine="0" w:left="0"/>
              <w:rPr>
                <w:sz w:val="24"/>
              </w:rPr>
            </w:pPr>
            <w:r>
              <w:rPr>
                <w:sz w:val="24"/>
              </w:rPr>
              <w:t xml:space="preserve">1.2.4. В отделке входных дверей главного и </w:t>
            </w:r>
            <w:r>
              <w:rPr>
                <w:sz w:val="24"/>
              </w:rPr>
              <w:t>второстепенных входов, за исключением входов в технические помещения, необходимо использовать светопрозрачные вандалостойкие конструкции, оборудование для освещения.</w:t>
            </w:r>
          </w:p>
          <w:p w14:paraId="BB000000">
            <w:pPr>
              <w:pStyle w:val="Style_14"/>
              <w:spacing w:after="0" w:before="0" w:line="240" w:lineRule="auto"/>
              <w:ind w:firstLine="0" w:left="0"/>
              <w:rPr>
                <w:sz w:val="24"/>
              </w:rPr>
            </w:pPr>
            <w:r>
              <w:rPr>
                <w:sz w:val="24"/>
              </w:rPr>
              <w:t xml:space="preserve">1.2.5. Окна, двери и витражи должны быть безопасными, удобными, иметь оптимальную конфигурацию, обеспечивать возможность проветривания. </w:t>
            </w:r>
          </w:p>
          <w:p w14:paraId="BC000000">
            <w:pPr>
              <w:pStyle w:val="Style_14"/>
              <w:spacing w:after="0" w:before="0" w:line="240" w:lineRule="auto"/>
              <w:ind w:firstLine="0" w:left="0"/>
              <w:rPr>
                <w:sz w:val="24"/>
              </w:rPr>
            </w:pPr>
            <w:r>
              <w:rPr>
                <w:sz w:val="24"/>
              </w:rPr>
              <w:t>Запрещено использование тонировки путём наклеивания                          на поверхность стёкол плёнки.</w:t>
            </w:r>
          </w:p>
          <w:p w14:paraId="BD000000">
            <w:pPr>
              <w:pStyle w:val="Style_11"/>
              <w:spacing w:after="0" w:before="0" w:line="240" w:lineRule="auto"/>
              <w:ind w:firstLine="0" w:left="0"/>
              <w:jc w:val="both"/>
            </w:pPr>
            <w:r>
              <w:t>1.2.6. В отделке главного входа необходимо использовать светопрозрачные вандалостойкие конструкции.</w:t>
            </w:r>
          </w:p>
          <w:p w14:paraId="BE000000">
            <w:pPr>
              <w:pStyle w:val="Style_14"/>
              <w:spacing w:after="0" w:before="0" w:line="240" w:lineRule="auto"/>
              <w:ind w:firstLine="0" w:left="0"/>
              <w:rPr>
                <w:sz w:val="24"/>
              </w:rPr>
            </w:pPr>
            <w:r>
              <w:rPr>
                <w:sz w:val="24"/>
              </w:rPr>
              <w:t xml:space="preserve">1.2.7. При формировании архитектурно-художественного облика объекта на фасаде здания должно быть определено место                                   для размещения вывески с названием объекта. Особенно данное требование относится к таким объектам, как торговые центры, рынки, деловые центры, имеющие одно общее название. </w:t>
            </w:r>
          </w:p>
          <w:p w14:paraId="BF000000">
            <w:pPr>
              <w:pStyle w:val="Style_11"/>
              <w:spacing w:after="0" w:before="0" w:line="240" w:lineRule="auto"/>
              <w:ind w:firstLine="0" w:left="0"/>
              <w:jc w:val="both"/>
            </w:pPr>
          </w:p>
        </w:tc>
      </w:tr>
      <w:tr>
        <w:tc>
          <w:tcPr>
            <w:tcW w:type="dxa" w:w="799"/>
            <w:tcBorders>
              <w:top w:color="000000" w:sz="4" w:val="single"/>
              <w:left w:color="000000" w:sz="4" w:val="single"/>
              <w:bottom w:color="000000" w:sz="4" w:val="single"/>
              <w:right w:color="000000" w:sz="4" w:val="single"/>
            </w:tcBorders>
          </w:tcPr>
          <w:p w14:paraId="C0000000">
            <w:pPr>
              <w:pStyle w:val="Style_3"/>
              <w:spacing w:line="240" w:lineRule="auto"/>
              <w:ind w:firstLine="0" w:left="0"/>
              <w:jc w:val="center"/>
              <w:rPr>
                <w:rFonts w:ascii="Times New Roman" w:hAnsi="Times New Roman"/>
                <w:sz w:val="24"/>
              </w:rPr>
            </w:pPr>
            <w:r>
              <w:rPr>
                <w:rFonts w:ascii="Times New Roman" w:hAnsi="Times New Roman"/>
                <w:sz w:val="24"/>
              </w:rPr>
              <w:t>2</w:t>
            </w:r>
          </w:p>
        </w:tc>
        <w:tc>
          <w:tcPr>
            <w:tcW w:type="dxa" w:w="3603"/>
            <w:tcBorders>
              <w:top w:color="000000" w:sz="4" w:val="single"/>
              <w:left w:color="000000" w:sz="4" w:val="single"/>
              <w:bottom w:color="000000" w:sz="4" w:val="single"/>
              <w:right w:color="000000" w:sz="4" w:val="single"/>
            </w:tcBorders>
          </w:tcPr>
          <w:p w14:paraId="C1000000">
            <w:pPr>
              <w:spacing w:line="240" w:lineRule="auto"/>
              <w:ind w:firstLine="0" w:left="0"/>
              <w:rPr>
                <w:rFonts w:ascii="Times New Roman" w:hAnsi="Times New Roman"/>
                <w:sz w:val="24"/>
              </w:rPr>
            </w:pPr>
            <w:r>
              <w:rPr>
                <w:rFonts w:ascii="Times New Roman" w:hAnsi="Times New Roman"/>
                <w:sz w:val="24"/>
              </w:rPr>
              <w:t>Требования к архитектурно-стилистическим характеристикам</w:t>
            </w:r>
          </w:p>
          <w:p w14:paraId="C2000000">
            <w:pPr>
              <w:pStyle w:val="Style_3"/>
              <w:spacing w:line="240" w:lineRule="auto"/>
              <w:ind w:firstLine="0" w:left="0"/>
              <w:jc w:val="both"/>
              <w:rPr>
                <w:rFonts w:ascii="Times New Roman" w:hAnsi="Times New Roman"/>
                <w:sz w:val="24"/>
              </w:rPr>
            </w:pPr>
          </w:p>
        </w:tc>
        <w:tc>
          <w:tcPr>
            <w:tcW w:type="dxa" w:w="4953"/>
            <w:tcBorders>
              <w:top w:color="000000" w:sz="4" w:val="single"/>
              <w:left w:color="000000" w:sz="4" w:val="single"/>
              <w:bottom w:color="000000" w:sz="4" w:val="single"/>
              <w:right w:color="000000" w:sz="4" w:val="single"/>
            </w:tcBorders>
          </w:tcPr>
          <w:p w14:paraId="C3000000">
            <w:pPr>
              <w:pStyle w:val="Style_14"/>
              <w:spacing w:after="0" w:before="0" w:line="240" w:lineRule="auto"/>
              <w:ind w:firstLine="0" w:left="0"/>
              <w:rPr>
                <w:sz w:val="24"/>
              </w:rPr>
            </w:pPr>
            <w:r>
              <w:rPr>
                <w:sz w:val="24"/>
              </w:rPr>
              <w:t>2.1. Для создания архитектурно-градостроительного облика объектов капитального строительства могут применяться различные архитектурные стили, при условии обеспечения стилевого единства окружающей застройки, достигаемого путём сочетания форм, материалов, цветового решения и характера размещения всех деталей                и элементов здания.</w:t>
            </w:r>
          </w:p>
          <w:p w14:paraId="C4000000">
            <w:pPr>
              <w:pStyle w:val="Style_11"/>
              <w:spacing w:after="0" w:before="0" w:line="240" w:lineRule="auto"/>
              <w:ind w:firstLine="0" w:left="0"/>
              <w:jc w:val="both"/>
            </w:pPr>
            <w:r>
              <w:t>2.2. Должно быть обеспечено разнообразие пластики фасадов.</w:t>
            </w:r>
          </w:p>
          <w:p w14:paraId="C5000000">
            <w:pPr>
              <w:pStyle w:val="Style_3"/>
              <w:spacing w:after="0" w:before="0" w:line="240" w:lineRule="auto"/>
              <w:ind w:firstLine="0" w:left="0"/>
              <w:jc w:val="both"/>
              <w:rPr>
                <w:rFonts w:ascii="Times New Roman" w:hAnsi="Times New Roman"/>
                <w:sz w:val="24"/>
              </w:rPr>
            </w:pPr>
          </w:p>
        </w:tc>
      </w:tr>
      <w:tr>
        <w:tc>
          <w:tcPr>
            <w:tcW w:type="dxa" w:w="799"/>
            <w:tcBorders>
              <w:top w:color="000000" w:sz="4" w:val="single"/>
              <w:left w:color="000000" w:sz="4" w:val="single"/>
              <w:bottom w:color="000000" w:sz="4" w:val="single"/>
              <w:right w:color="000000" w:sz="4" w:val="single"/>
            </w:tcBorders>
          </w:tcPr>
          <w:p w14:paraId="C6000000">
            <w:pPr>
              <w:pStyle w:val="Style_3"/>
              <w:spacing w:line="240" w:lineRule="auto"/>
              <w:ind w:firstLine="0" w:left="0"/>
              <w:jc w:val="center"/>
              <w:rPr>
                <w:rFonts w:ascii="Times New Roman" w:hAnsi="Times New Roman"/>
                <w:sz w:val="24"/>
              </w:rPr>
            </w:pPr>
            <w:r>
              <w:rPr>
                <w:rFonts w:ascii="Times New Roman" w:hAnsi="Times New Roman"/>
                <w:sz w:val="24"/>
              </w:rPr>
              <w:t>3</w:t>
            </w:r>
          </w:p>
        </w:tc>
        <w:tc>
          <w:tcPr>
            <w:tcW w:type="dxa" w:w="3603"/>
            <w:tcBorders>
              <w:top w:color="000000" w:sz="4" w:val="single"/>
              <w:left w:color="000000" w:sz="4" w:val="single"/>
              <w:bottom w:color="000000" w:sz="4" w:val="single"/>
              <w:right w:color="000000" w:sz="4" w:val="single"/>
            </w:tcBorders>
          </w:tcPr>
          <w:p w14:paraId="C7000000">
            <w:pPr>
              <w:spacing w:line="240" w:lineRule="auto"/>
              <w:ind w:firstLine="0" w:left="0"/>
              <w:rPr>
                <w:rFonts w:ascii="Times New Roman" w:hAnsi="Times New Roman"/>
                <w:sz w:val="24"/>
              </w:rPr>
            </w:pPr>
            <w:r>
              <w:rPr>
                <w:rFonts w:ascii="Times New Roman" w:hAnsi="Times New Roman"/>
                <w:sz w:val="24"/>
              </w:rPr>
              <w:t>Требования к цветовым решениям.</w:t>
            </w:r>
          </w:p>
          <w:p w14:paraId="C8000000">
            <w:pPr>
              <w:pStyle w:val="Style_3"/>
              <w:spacing w:line="240" w:lineRule="auto"/>
              <w:ind w:firstLine="0" w:left="0"/>
              <w:jc w:val="both"/>
              <w:rPr>
                <w:rFonts w:ascii="Times New Roman" w:hAnsi="Times New Roman"/>
                <w:sz w:val="24"/>
              </w:rPr>
            </w:pPr>
          </w:p>
        </w:tc>
        <w:tc>
          <w:tcPr>
            <w:tcW w:type="dxa" w:w="4953"/>
            <w:tcBorders>
              <w:top w:color="000000" w:sz="4" w:val="single"/>
              <w:left w:color="000000" w:sz="4" w:val="single"/>
              <w:bottom w:color="000000" w:sz="4" w:val="single"/>
              <w:right w:color="000000" w:sz="4" w:val="single"/>
            </w:tcBorders>
          </w:tcPr>
          <w:p w14:paraId="C9000000">
            <w:pPr>
              <w:spacing w:line="240" w:lineRule="auto"/>
              <w:ind w:firstLine="0" w:left="0"/>
              <w:rPr>
                <w:rFonts w:ascii="Times New Roman" w:hAnsi="Times New Roman"/>
                <w:sz w:val="24"/>
              </w:rPr>
            </w:pPr>
            <w:r>
              <w:rPr>
                <w:rFonts w:ascii="Times New Roman" w:hAnsi="Times New Roman"/>
                <w:sz w:val="24"/>
              </w:rPr>
              <w:t>3.1. Требования к применению конкретных цветов и оттенков                   для отделки фасадов с указанием палитры не устанавливаются.</w:t>
            </w:r>
          </w:p>
          <w:p w14:paraId="CA000000">
            <w:pPr>
              <w:spacing w:line="240" w:lineRule="auto"/>
              <w:ind w:firstLine="0" w:left="0"/>
              <w:rPr>
                <w:rFonts w:ascii="Times New Roman" w:hAnsi="Times New Roman"/>
                <w:sz w:val="24"/>
              </w:rPr>
            </w:pPr>
            <w:r>
              <w:rPr>
                <w:rFonts w:ascii="Times New Roman" w:hAnsi="Times New Roman"/>
                <w:sz w:val="24"/>
              </w:rPr>
              <w:t>В случае</w:t>
            </w:r>
            <w:r>
              <w:rPr>
                <w:rFonts w:ascii="Times New Roman" w:hAnsi="Times New Roman"/>
                <w:sz w:val="24"/>
              </w:rPr>
              <w:t>,</w:t>
            </w:r>
            <w:r>
              <w:rPr>
                <w:rFonts w:ascii="Times New Roman" w:hAnsi="Times New Roman"/>
                <w:sz w:val="24"/>
              </w:rPr>
              <w:t xml:space="preserve"> если муниципальным правовым актом муниципального образования утверждён документ, устанавливающий правила определения цветовых решений </w:t>
            </w:r>
            <w:r>
              <w:rPr>
                <w:rFonts w:ascii="Times New Roman" w:hAnsi="Times New Roman"/>
                <w:sz w:val="24"/>
              </w:rPr>
              <w:t>застройки и отдельных объектов капитального строительства, цветовое решение объекта должно выполняться в соответствии с данным документом.</w:t>
            </w:r>
          </w:p>
          <w:p w14:paraId="CB000000">
            <w:pPr>
              <w:spacing w:after="0" w:before="0" w:line="240" w:lineRule="auto"/>
              <w:ind w:firstLine="0" w:left="0"/>
              <w:rPr>
                <w:rFonts w:ascii="Times New Roman" w:hAnsi="Times New Roman"/>
                <w:sz w:val="24"/>
              </w:rPr>
            </w:pPr>
            <w:r>
              <w:rPr>
                <w:rFonts w:ascii="Times New Roman" w:hAnsi="Times New Roman"/>
                <w:sz w:val="24"/>
              </w:rPr>
              <w:t xml:space="preserve">3.2. При разработке цветовых решений фасадов объектов капитального строительства необходимо: </w:t>
            </w:r>
          </w:p>
          <w:p w14:paraId="CC000000">
            <w:pPr>
              <w:spacing w:after="0" w:before="0" w:line="240" w:lineRule="auto"/>
              <w:ind w:firstLine="0" w:left="0"/>
              <w:rPr>
                <w:rFonts w:ascii="Times New Roman" w:hAnsi="Times New Roman"/>
                <w:sz w:val="24"/>
              </w:rPr>
            </w:pPr>
            <w:r>
              <w:rPr>
                <w:rFonts w:ascii="Times New Roman" w:hAnsi="Times New Roman"/>
                <w:sz w:val="24"/>
              </w:rPr>
              <w:t xml:space="preserve">     -  учитывать тип и цвет окружающей застройки; </w:t>
            </w:r>
          </w:p>
          <w:p w14:paraId="CD000000">
            <w:pPr>
              <w:spacing w:after="0" w:before="0" w:line="240" w:lineRule="auto"/>
              <w:ind w:firstLine="0" w:left="0"/>
              <w:rPr>
                <w:rFonts w:ascii="Times New Roman" w:hAnsi="Times New Roman"/>
                <w:sz w:val="24"/>
              </w:rPr>
            </w:pPr>
            <w:r>
              <w:rPr>
                <w:rFonts w:ascii="Times New Roman" w:hAnsi="Times New Roman"/>
                <w:sz w:val="24"/>
              </w:rPr>
              <w:t xml:space="preserve">- отдавать преимущество натуральным оттенкам и цветам; </w:t>
            </w:r>
          </w:p>
          <w:p w14:paraId="CE000000">
            <w:pPr>
              <w:spacing w:after="0" w:before="0" w:line="240" w:lineRule="auto"/>
              <w:ind w:firstLine="0" w:left="0"/>
              <w:rPr>
                <w:rFonts w:ascii="Times New Roman" w:hAnsi="Times New Roman"/>
                <w:sz w:val="24"/>
              </w:rPr>
            </w:pPr>
            <w:r>
              <w:rPr>
                <w:rFonts w:ascii="Times New Roman" w:hAnsi="Times New Roman"/>
                <w:sz w:val="24"/>
              </w:rPr>
              <w:t xml:space="preserve">     - исключить случайное использование цветов, создающих пестроту или монотонность.</w:t>
            </w:r>
          </w:p>
          <w:p w14:paraId="CF000000">
            <w:pPr>
              <w:pStyle w:val="Style_11"/>
              <w:spacing w:after="0" w:before="0" w:line="240" w:lineRule="auto"/>
              <w:ind w:firstLine="0" w:left="0"/>
              <w:jc w:val="both"/>
            </w:pPr>
            <w:r>
              <w:t xml:space="preserve">3.3. Должен быть применён следующий принцип компоновки цветов: </w:t>
            </w:r>
          </w:p>
          <w:p w14:paraId="D0000000">
            <w:pPr>
              <w:pStyle w:val="Style_11"/>
              <w:spacing w:after="0" w:before="0" w:line="240" w:lineRule="auto"/>
              <w:ind w:firstLine="0" w:left="0"/>
              <w:jc w:val="both"/>
            </w:pPr>
            <w:r>
              <w:t xml:space="preserve">- один цвет основной (доминирующий); </w:t>
            </w:r>
          </w:p>
          <w:p w14:paraId="D1000000">
            <w:pPr>
              <w:pStyle w:val="Style_11"/>
              <w:spacing w:after="0" w:before="0" w:line="240" w:lineRule="auto"/>
              <w:ind w:firstLine="0" w:left="0"/>
              <w:jc w:val="both"/>
            </w:pPr>
            <w:r>
              <w:t xml:space="preserve">-  не более двух цветов вспомогательных (дополнительных); </w:t>
            </w:r>
          </w:p>
          <w:p w14:paraId="D2000000">
            <w:pPr>
              <w:pStyle w:val="Style_11"/>
              <w:spacing w:after="0" w:before="0" w:line="240" w:lineRule="auto"/>
              <w:ind w:firstLine="0" w:left="0"/>
              <w:jc w:val="both"/>
            </w:pPr>
            <w:r>
              <w:t>- не более трёх цветов для акцента.</w:t>
            </w:r>
          </w:p>
          <w:p w14:paraId="D3000000">
            <w:pPr>
              <w:pStyle w:val="Style_11"/>
              <w:spacing w:after="0" w:before="0" w:line="240" w:lineRule="auto"/>
              <w:ind w:firstLine="0" w:left="0"/>
              <w:jc w:val="both"/>
            </w:pPr>
            <w:r>
              <w:t>3.4. Соотношение между основным, вспомогательным                                 и акцентным цветами принимать 50 %, 30 % и 20 %.</w:t>
            </w:r>
          </w:p>
          <w:p w14:paraId="D4000000">
            <w:pPr>
              <w:pStyle w:val="Style_11"/>
              <w:spacing w:after="0" w:before="0" w:line="240" w:lineRule="auto"/>
              <w:ind w:firstLine="0" w:left="0"/>
              <w:jc w:val="both"/>
            </w:pPr>
            <w:r>
              <w:t>3.5. При работе с двумя палитрами соотношение между основным и акцентным цветами принимать 70 % и 30 %.</w:t>
            </w:r>
          </w:p>
          <w:p w14:paraId="D5000000">
            <w:pPr>
              <w:pStyle w:val="Style_11"/>
              <w:spacing w:after="0" w:before="0" w:line="240" w:lineRule="auto"/>
              <w:ind w:firstLine="0" w:left="0"/>
              <w:jc w:val="both"/>
            </w:pPr>
            <w:r>
              <w:t>3.6. При разработке цвето-композиционных решений необходимо использовать следующие приёмы компоновки цвета:</w:t>
            </w:r>
          </w:p>
          <w:p w14:paraId="D6000000">
            <w:pPr>
              <w:pStyle w:val="Style_11"/>
              <w:spacing w:after="0" w:before="0" w:line="240" w:lineRule="auto"/>
              <w:ind w:firstLine="0" w:left="0"/>
              <w:jc w:val="both"/>
            </w:pPr>
            <w:r>
              <w:t>3.6.1. Выделение отдельных элементов фасада с применением акцентной палитры (балконы, лоджии, обрамления окон, дверей, входные группы и т.п.).</w:t>
            </w:r>
          </w:p>
          <w:p w14:paraId="D7000000">
            <w:pPr>
              <w:pStyle w:val="Style_11"/>
              <w:spacing w:after="0" w:before="0" w:line="240" w:lineRule="auto"/>
              <w:ind w:firstLine="0" w:left="0"/>
              <w:jc w:val="both"/>
            </w:pPr>
            <w:r>
              <w:t>3.6.2. Выделение объёмно-пространственных элементов (отдельные объёмы, блок секции, пристройки и т.п.).</w:t>
            </w:r>
          </w:p>
          <w:p w14:paraId="D8000000">
            <w:pPr>
              <w:pStyle w:val="Style_11"/>
              <w:spacing w:after="0" w:before="0" w:line="240" w:lineRule="auto"/>
              <w:ind w:firstLine="0" w:left="0"/>
              <w:jc w:val="both"/>
            </w:pPr>
            <w:r>
              <w:t>3.6.3. Выделение ниш и локальных выемок (локальные ниши                     и выемки на фасаде здания).</w:t>
            </w:r>
          </w:p>
          <w:p w14:paraId="D9000000">
            <w:pPr>
              <w:pStyle w:val="Style_11"/>
              <w:spacing w:after="0" w:before="0" w:line="240" w:lineRule="auto"/>
              <w:ind w:firstLine="0" w:left="0"/>
              <w:jc w:val="both"/>
            </w:pPr>
            <w:r>
              <w:t>3.6.4. Выделение геометрии здания (цветом подчёркиваются геометрические формы здания).</w:t>
            </w:r>
          </w:p>
          <w:p w14:paraId="DA000000">
            <w:pPr>
              <w:pStyle w:val="Style_11"/>
              <w:spacing w:after="0" w:before="0" w:line="240" w:lineRule="auto"/>
              <w:ind w:firstLine="0" w:left="0"/>
              <w:jc w:val="both"/>
            </w:pPr>
            <w:r>
              <w:t>3.6.5. Выделение этажей (выделение цветом отдельных этажей, групп этажей).</w:t>
            </w:r>
          </w:p>
          <w:p w14:paraId="DB000000">
            <w:pPr>
              <w:pStyle w:val="Style_11"/>
              <w:spacing w:after="0" w:before="0" w:line="240" w:lineRule="auto"/>
              <w:ind w:firstLine="0" w:left="0"/>
              <w:jc w:val="both"/>
            </w:pPr>
            <w:r>
              <w:t>3.6.6. Выделение двойного фасада (разделение по цвету капитальных стен и конструкций декоративного оформления фасада).</w:t>
            </w:r>
          </w:p>
          <w:p w14:paraId="DC000000">
            <w:pPr>
              <w:pStyle w:val="Style_11"/>
              <w:spacing w:after="0" w:before="0" w:line="240" w:lineRule="auto"/>
              <w:ind w:firstLine="0" w:left="0"/>
              <w:jc w:val="both"/>
            </w:pPr>
            <w:r>
              <w:t>3.6.7. Выделение торцевых стен или отдельных плоскостей фасада.</w:t>
            </w:r>
          </w:p>
        </w:tc>
      </w:tr>
      <w:tr>
        <w:tc>
          <w:tcPr>
            <w:tcW w:type="dxa" w:w="799"/>
            <w:tcBorders>
              <w:top w:color="000000" w:sz="4" w:val="single"/>
              <w:left w:color="000000" w:sz="4" w:val="single"/>
              <w:bottom w:color="000000" w:sz="4" w:val="single"/>
              <w:right w:color="000000" w:sz="4" w:val="single"/>
            </w:tcBorders>
          </w:tcPr>
          <w:p w14:paraId="DD000000">
            <w:pPr>
              <w:pStyle w:val="Style_3"/>
              <w:spacing w:line="240" w:lineRule="auto"/>
              <w:ind w:firstLine="0" w:left="0"/>
              <w:jc w:val="center"/>
              <w:rPr>
                <w:rFonts w:ascii="Times New Roman" w:hAnsi="Times New Roman"/>
                <w:sz w:val="24"/>
              </w:rPr>
            </w:pPr>
            <w:r>
              <w:rPr>
                <w:rFonts w:ascii="Times New Roman" w:hAnsi="Times New Roman"/>
                <w:sz w:val="24"/>
              </w:rPr>
              <w:t>4</w:t>
            </w:r>
          </w:p>
        </w:tc>
        <w:tc>
          <w:tcPr>
            <w:tcW w:type="dxa" w:w="3603"/>
            <w:tcBorders>
              <w:top w:color="000000" w:sz="4" w:val="single"/>
              <w:left w:color="000000" w:sz="4" w:val="single"/>
              <w:bottom w:color="000000" w:sz="4" w:val="single"/>
              <w:right w:color="000000" w:sz="4" w:val="single"/>
            </w:tcBorders>
          </w:tcPr>
          <w:p w14:paraId="DE000000">
            <w:pPr>
              <w:pStyle w:val="Style_3"/>
              <w:spacing w:line="240" w:lineRule="auto"/>
              <w:ind w:firstLine="0" w:left="0"/>
              <w:jc w:val="both"/>
              <w:rPr>
                <w:rFonts w:ascii="Times New Roman" w:hAnsi="Times New Roman"/>
                <w:sz w:val="24"/>
              </w:rPr>
            </w:pPr>
            <w:r>
              <w:rPr>
                <w:rFonts w:ascii="Times New Roman" w:hAnsi="Times New Roman"/>
                <w:sz w:val="24"/>
                <w:highlight w:val="white"/>
              </w:rPr>
              <w:t>Требования к отделочным и (или) строительным материалам, определяющим архитектурный облик зданий.</w:t>
            </w:r>
          </w:p>
        </w:tc>
        <w:tc>
          <w:tcPr>
            <w:tcW w:type="dxa" w:w="4953"/>
            <w:tcBorders>
              <w:top w:color="000000" w:sz="4" w:val="single"/>
              <w:left w:color="000000" w:sz="4" w:val="single"/>
              <w:bottom w:color="000000" w:sz="4" w:val="single"/>
              <w:right w:color="000000" w:sz="4" w:val="single"/>
            </w:tcBorders>
          </w:tcPr>
          <w:p w14:paraId="DF000000">
            <w:pPr>
              <w:pStyle w:val="Style_11"/>
              <w:spacing w:after="0" w:before="0" w:line="240" w:lineRule="auto"/>
              <w:ind w:firstLine="0" w:left="0"/>
              <w:jc w:val="both"/>
            </w:pPr>
            <w:r>
              <w:t xml:space="preserve">4.1. При проектировании объектов капитального строительства необходимо предусматривать применение различных вариантов отделки фасадов. Технологические возможности должны позволять использование не менее трёх типов отделочных материалов, отличающихся друг от друга фактурой, цветом, форматом. </w:t>
            </w:r>
          </w:p>
          <w:p w14:paraId="E0000000">
            <w:pPr>
              <w:pStyle w:val="Style_11"/>
              <w:spacing w:after="0" w:before="0" w:line="240" w:lineRule="auto"/>
              <w:ind w:firstLine="0" w:left="0"/>
              <w:jc w:val="both"/>
            </w:pPr>
            <w:r>
              <w:t>4.2. Цоколь здания должен быть выполнен из устойчивых                             к атмосферным явлениям, не гигроскопичных, вандалостойких                           и визуально привлекательных материалов:</w:t>
            </w:r>
          </w:p>
          <w:p w14:paraId="E1000000">
            <w:pPr>
              <w:pStyle w:val="Style_11"/>
              <w:spacing w:after="0" w:before="0" w:line="240" w:lineRule="auto"/>
              <w:ind w:firstLine="0" w:left="0"/>
              <w:jc w:val="both"/>
            </w:pPr>
            <w:r>
              <w:t>- природный камень, искусственный камень;</w:t>
            </w:r>
          </w:p>
          <w:p w14:paraId="E2000000">
            <w:pPr>
              <w:pStyle w:val="Style_11"/>
              <w:spacing w:after="0" w:before="0" w:line="240" w:lineRule="auto"/>
              <w:ind w:firstLine="0" w:left="0"/>
              <w:jc w:val="both"/>
            </w:pPr>
            <w:r>
              <w:t>- облицовочный кирпич;</w:t>
            </w:r>
          </w:p>
          <w:p w14:paraId="E3000000">
            <w:pPr>
              <w:pStyle w:val="Style_11"/>
              <w:spacing w:after="0" w:before="0" w:line="240" w:lineRule="auto"/>
              <w:ind w:firstLine="0" w:left="0"/>
              <w:jc w:val="both"/>
            </w:pPr>
            <w:r>
              <w:t>- панели из бетонных композитов.</w:t>
            </w:r>
          </w:p>
          <w:p w14:paraId="E4000000">
            <w:pPr>
              <w:pStyle w:val="Style_11"/>
              <w:spacing w:after="0" w:before="0" w:line="240" w:lineRule="auto"/>
              <w:ind w:firstLine="0" w:left="0"/>
              <w:jc w:val="both"/>
            </w:pPr>
            <w:r>
              <w:t>4.3. Стены здания необходимо выполнять из материалов с такими же характеристиками, как в пункте 4.2.</w:t>
            </w:r>
          </w:p>
          <w:p w14:paraId="E5000000">
            <w:pPr>
              <w:pStyle w:val="Style_11"/>
              <w:spacing w:after="0" w:before="0" w:line="240" w:lineRule="auto"/>
              <w:ind w:firstLine="0" w:left="0"/>
              <w:jc w:val="both"/>
            </w:pPr>
            <w:r>
              <w:t>4.3.1. При строительстве жилых зданий необходимо применение следующих строительных и облицовочных материалов:</w:t>
            </w:r>
          </w:p>
          <w:p w14:paraId="E6000000">
            <w:pPr>
              <w:pStyle w:val="Style_11"/>
              <w:spacing w:after="0" w:before="0" w:line="240" w:lineRule="auto"/>
              <w:ind w:firstLine="0" w:left="0"/>
              <w:jc w:val="both"/>
            </w:pPr>
            <w:r>
              <w:t>- облицовочный полнотелый кирпич (клинкерный керамический), использование пустотелого кирпича не допускается;</w:t>
            </w:r>
          </w:p>
          <w:p w14:paraId="E7000000">
            <w:pPr>
              <w:pStyle w:val="Style_11"/>
              <w:spacing w:after="0" w:before="0" w:line="240" w:lineRule="auto"/>
              <w:ind w:firstLine="0" w:left="0"/>
              <w:jc w:val="both"/>
            </w:pPr>
            <w:r>
              <w:t>- железобетонные стеновые панели;</w:t>
            </w:r>
          </w:p>
          <w:p w14:paraId="E8000000">
            <w:pPr>
              <w:pStyle w:val="Style_11"/>
              <w:spacing w:after="0" w:before="0" w:line="240" w:lineRule="auto"/>
              <w:ind w:firstLine="0" w:left="0"/>
              <w:jc w:val="both"/>
            </w:pPr>
            <w:r>
              <w:t>- облицовочные навесные конструкции:</w:t>
            </w:r>
          </w:p>
          <w:p w14:paraId="E9000000">
            <w:pPr>
              <w:pStyle w:val="Style_11"/>
              <w:spacing w:after="0" w:before="0" w:line="240" w:lineRule="auto"/>
              <w:ind w:firstLine="0" w:left="0"/>
              <w:jc w:val="both"/>
            </w:pPr>
            <w:r>
              <w:t xml:space="preserve">архитектурный бетон; </w:t>
            </w:r>
          </w:p>
          <w:p w14:paraId="EA000000">
            <w:pPr>
              <w:pStyle w:val="Style_11"/>
              <w:spacing w:after="0" w:before="0" w:line="240" w:lineRule="auto"/>
              <w:ind w:firstLine="0" w:left="0"/>
              <w:jc w:val="both"/>
            </w:pPr>
            <w:r>
              <w:t>керамогранит (толщина не менее 10 мм);</w:t>
            </w:r>
          </w:p>
          <w:p w14:paraId="EB000000">
            <w:pPr>
              <w:pStyle w:val="Style_11"/>
              <w:spacing w:after="0" w:before="0" w:line="240" w:lineRule="auto"/>
              <w:ind w:firstLine="0" w:left="0"/>
              <w:jc w:val="both"/>
            </w:pPr>
            <w:r>
              <w:t>фиброцементные панели;</w:t>
            </w:r>
          </w:p>
          <w:p w14:paraId="EC000000">
            <w:pPr>
              <w:pStyle w:val="Style_11"/>
              <w:spacing w:after="0" w:before="0" w:line="240" w:lineRule="auto"/>
              <w:ind w:firstLine="0" w:left="0"/>
              <w:jc w:val="both"/>
            </w:pPr>
            <w:r>
              <w:t xml:space="preserve">натуральный камень; </w:t>
            </w:r>
          </w:p>
          <w:p w14:paraId="ED000000">
            <w:pPr>
              <w:pStyle w:val="Style_11"/>
              <w:spacing w:after="0" w:before="0" w:line="240" w:lineRule="auto"/>
              <w:ind w:firstLine="0" w:left="0"/>
              <w:jc w:val="both"/>
            </w:pPr>
            <w:r>
              <w:t>бетонная плитка;</w:t>
            </w:r>
          </w:p>
          <w:p w14:paraId="EE000000">
            <w:pPr>
              <w:pStyle w:val="Style_11"/>
              <w:spacing w:after="0" w:before="0" w:line="240" w:lineRule="auto"/>
              <w:ind w:firstLine="0" w:left="0"/>
              <w:jc w:val="both"/>
            </w:pPr>
            <w:r>
              <w:t>4.3.2. При строительстве зданий нежилого назначения необходимо применение следующих строительных и облицовочных материалов:</w:t>
            </w:r>
          </w:p>
          <w:p w14:paraId="EF000000">
            <w:pPr>
              <w:pStyle w:val="Style_11"/>
              <w:spacing w:after="0" w:before="0" w:line="240" w:lineRule="auto"/>
              <w:ind w:firstLine="0" w:left="0"/>
              <w:jc w:val="both"/>
            </w:pPr>
            <w:r>
              <w:t>- облицовочный полнотелый кирпич (клинкерный, керамический), использование пустотелого кирпича не допускается;</w:t>
            </w:r>
          </w:p>
          <w:p w14:paraId="F0000000">
            <w:pPr>
              <w:pStyle w:val="Style_11"/>
              <w:spacing w:after="0" w:before="0" w:line="240" w:lineRule="auto"/>
              <w:ind w:firstLine="0" w:left="0"/>
              <w:jc w:val="both"/>
            </w:pPr>
            <w:r>
              <w:t>- облицовочные навесные конструкции:</w:t>
            </w:r>
          </w:p>
          <w:p w14:paraId="F1000000">
            <w:pPr>
              <w:pStyle w:val="Style_11"/>
              <w:spacing w:after="0" w:before="0" w:line="240" w:lineRule="auto"/>
              <w:ind w:firstLine="0" w:left="0"/>
              <w:jc w:val="both"/>
            </w:pPr>
            <w:r>
              <w:t xml:space="preserve">архитектурный бетон; </w:t>
            </w:r>
          </w:p>
          <w:p w14:paraId="F2000000">
            <w:pPr>
              <w:pStyle w:val="Style_11"/>
              <w:spacing w:after="0" w:before="0" w:line="240" w:lineRule="auto"/>
              <w:ind w:firstLine="0" w:left="0"/>
              <w:jc w:val="both"/>
            </w:pPr>
            <w:r>
              <w:t>керамогранит (толщина не менее 10 мм);</w:t>
            </w:r>
          </w:p>
          <w:p w14:paraId="F3000000">
            <w:pPr>
              <w:pStyle w:val="Style_11"/>
              <w:spacing w:after="0" w:before="0" w:line="240" w:lineRule="auto"/>
              <w:ind w:firstLine="0" w:left="0"/>
              <w:jc w:val="both"/>
            </w:pPr>
            <w:r>
              <w:t>фиброцементные панели;</w:t>
            </w:r>
          </w:p>
          <w:p w14:paraId="F4000000">
            <w:pPr>
              <w:pStyle w:val="Style_11"/>
              <w:spacing w:after="0" w:before="0" w:line="240" w:lineRule="auto"/>
              <w:ind w:firstLine="0" w:left="0"/>
              <w:jc w:val="both"/>
            </w:pPr>
            <w:r>
              <w:t>композит;</w:t>
            </w:r>
          </w:p>
          <w:p w14:paraId="F5000000">
            <w:pPr>
              <w:pStyle w:val="Style_11"/>
              <w:spacing w:after="0" w:before="0" w:line="240" w:lineRule="auto"/>
              <w:ind w:firstLine="0" w:left="0"/>
              <w:jc w:val="both"/>
            </w:pPr>
            <w:r>
              <w:t xml:space="preserve">натуральный камень; </w:t>
            </w:r>
          </w:p>
          <w:p w14:paraId="F6000000">
            <w:pPr>
              <w:pStyle w:val="Style_11"/>
              <w:spacing w:after="0" w:before="0" w:line="240" w:lineRule="auto"/>
              <w:ind w:firstLine="0" w:left="0"/>
              <w:jc w:val="both"/>
            </w:pPr>
            <w:r>
              <w:t>металлокассеты;</w:t>
            </w:r>
          </w:p>
          <w:p w14:paraId="F7000000">
            <w:pPr>
              <w:pStyle w:val="Style_11"/>
              <w:spacing w:after="0" w:before="0" w:line="240" w:lineRule="auto"/>
              <w:ind w:firstLine="0" w:left="0"/>
              <w:jc w:val="both"/>
            </w:pPr>
            <w:r>
              <w:t>аквапанель</w:t>
            </w:r>
            <w:r>
              <w:t xml:space="preserve">. </w:t>
            </w:r>
          </w:p>
          <w:p w14:paraId="F8000000">
            <w:pPr>
              <w:pStyle w:val="Style_11"/>
              <w:spacing w:after="0" w:before="0" w:line="240" w:lineRule="auto"/>
              <w:ind w:firstLine="0" w:left="0"/>
              <w:jc w:val="both"/>
            </w:pPr>
            <w:r>
              <w:t>4.4. Элементы кровли:</w:t>
            </w:r>
          </w:p>
          <w:p w14:paraId="F9000000">
            <w:pPr>
              <w:pStyle w:val="Style_11"/>
              <w:spacing w:after="0" w:before="0" w:line="240" w:lineRule="auto"/>
              <w:ind w:firstLine="0" w:left="0"/>
              <w:jc w:val="both"/>
            </w:pPr>
            <w:r>
              <w:t>- фальцевая кровля;</w:t>
            </w:r>
          </w:p>
          <w:p w14:paraId="FA000000">
            <w:pPr>
              <w:pStyle w:val="Style_11"/>
              <w:spacing w:after="0" w:before="0" w:line="240" w:lineRule="auto"/>
              <w:ind w:firstLine="0" w:left="0"/>
              <w:jc w:val="both"/>
            </w:pPr>
            <w:r>
              <w:t>- мягкая кровля;</w:t>
            </w:r>
          </w:p>
          <w:p w14:paraId="FB000000">
            <w:pPr>
              <w:pStyle w:val="Style_11"/>
              <w:spacing w:after="0" w:before="0" w:line="240" w:lineRule="auto"/>
              <w:ind w:firstLine="0" w:left="0"/>
              <w:jc w:val="both"/>
            </w:pPr>
            <w:r>
              <w:t>- сланцевая кровля;</w:t>
            </w:r>
          </w:p>
          <w:p w14:paraId="FC000000">
            <w:pPr>
              <w:pStyle w:val="Style_11"/>
              <w:spacing w:after="0" w:before="0" w:line="240" w:lineRule="auto"/>
              <w:ind w:firstLine="0" w:left="0"/>
              <w:jc w:val="both"/>
            </w:pPr>
            <w:r>
              <w:t>- песчано-цементная черепица;</w:t>
            </w:r>
          </w:p>
          <w:p w14:paraId="FD000000">
            <w:pPr>
              <w:pStyle w:val="Style_11"/>
              <w:spacing w:after="0" w:before="0" w:line="240" w:lineRule="auto"/>
              <w:ind w:firstLine="0" w:left="0"/>
              <w:jc w:val="both"/>
            </w:pPr>
            <w:r>
              <w:t>- керамическая черепица;</w:t>
            </w:r>
          </w:p>
          <w:p w14:paraId="FE000000">
            <w:pPr>
              <w:pStyle w:val="Style_11"/>
              <w:spacing w:after="0" w:before="0" w:line="240" w:lineRule="auto"/>
              <w:ind w:firstLine="0" w:left="0"/>
              <w:jc w:val="both"/>
            </w:pPr>
            <w:r>
              <w:t>- наливная кровля.</w:t>
            </w:r>
          </w:p>
          <w:p w14:paraId="FF000000">
            <w:pPr>
              <w:pStyle w:val="Style_11"/>
              <w:spacing w:after="0" w:before="0" w:line="240" w:lineRule="auto"/>
              <w:ind w:firstLine="0" w:left="0"/>
              <w:jc w:val="both"/>
            </w:pPr>
            <w:r>
              <w:t xml:space="preserve">4.5. При облицовке фасадов зданий исключить использование технологии оштукатуривания с последующей окраской фасадными красками. </w:t>
            </w:r>
          </w:p>
          <w:p w14:paraId="00010000">
            <w:pPr>
              <w:pStyle w:val="Style_11"/>
              <w:spacing w:after="0" w:before="0" w:line="240" w:lineRule="auto"/>
              <w:ind w:firstLine="0" w:left="0"/>
              <w:jc w:val="both"/>
            </w:pPr>
            <w:r>
              <w:t xml:space="preserve">При использовании технологии оштукатуривания должна применяться штукатурка, окрашенная в массе. </w:t>
            </w:r>
          </w:p>
          <w:p w14:paraId="01010000">
            <w:pPr>
              <w:pStyle w:val="Style_11"/>
              <w:spacing w:after="0" w:before="0" w:line="240" w:lineRule="auto"/>
              <w:ind w:firstLine="0" w:left="0"/>
              <w:jc w:val="both"/>
            </w:pPr>
            <w:r>
              <w:t>4.6. При использовании двух и более цветов штукатурки необходимо обеспечивать их стыковку в разных (смещённых друг относительно друга) плоскостях.</w:t>
            </w:r>
          </w:p>
          <w:p w14:paraId="02010000">
            <w:pPr>
              <w:pStyle w:val="Style_11"/>
              <w:spacing w:after="0" w:before="0" w:line="240" w:lineRule="auto"/>
              <w:ind w:firstLine="0" w:left="0"/>
              <w:jc w:val="both"/>
            </w:pPr>
            <w:r>
              <w:t>4.7. При разработке архитектурно-</w:t>
            </w:r>
            <w:r>
              <w:t>художественного решения</w:t>
            </w:r>
            <w:r>
              <w:t xml:space="preserve"> исключать сопряжения в одной плоскости поверхностей с различными отделочными материалами.</w:t>
            </w:r>
          </w:p>
          <w:p w14:paraId="03010000">
            <w:pPr>
              <w:pStyle w:val="Style_11"/>
              <w:spacing w:after="0" w:before="0" w:line="240" w:lineRule="auto"/>
              <w:ind w:firstLine="0" w:left="0"/>
              <w:jc w:val="both"/>
            </w:pPr>
            <w:r>
              <w:t xml:space="preserve">4.8. В отделке фасадов первых этажей не допускается применение керамогранита с креплением </w:t>
            </w:r>
            <w:r>
              <w:t>на</w:t>
            </w:r>
            <w:r>
              <w:t xml:space="preserve"> видимых клямерах.</w:t>
            </w:r>
          </w:p>
          <w:p w14:paraId="04010000">
            <w:pPr>
              <w:pStyle w:val="Style_11"/>
              <w:spacing w:after="0" w:before="0" w:line="240" w:lineRule="auto"/>
              <w:ind w:firstLine="0" w:left="0"/>
              <w:jc w:val="both"/>
            </w:pPr>
            <w:r>
              <w:t>4.9. В случае использования керамогранита со скрытым типом крепления, рекомендуется использовать анкерный тип крепления керамогранита к подсистеме (с помощью анкерных втулок).</w:t>
            </w:r>
          </w:p>
          <w:p w14:paraId="05010000">
            <w:pPr>
              <w:pStyle w:val="Style_11"/>
              <w:spacing w:after="0" w:before="0" w:line="240" w:lineRule="auto"/>
              <w:ind w:firstLine="0" w:left="0"/>
              <w:jc w:val="both"/>
            </w:pPr>
            <w:r>
              <w:t>4.10. На визуально воспринимаемых поверхностях фасада                         не допускается использование плёнки (в том числе самоклеящейся), профилированного листа, металлического и пластикового сайдинга, сотового поликарбоната.</w:t>
            </w:r>
          </w:p>
          <w:p w14:paraId="06010000">
            <w:pPr>
              <w:pStyle w:val="Style_11"/>
              <w:spacing w:after="0" w:before="0" w:line="240" w:lineRule="auto"/>
              <w:ind w:firstLine="0" w:left="0"/>
              <w:jc w:val="both"/>
            </w:pPr>
            <w:r>
              <w:t xml:space="preserve">4.11. При устройстве декоративных </w:t>
            </w:r>
            <w:r>
              <w:t>элементов здания целесообразно предусматривать их выполнение из долговечных                          и прочных материалов (</w:t>
            </w:r>
            <w:r>
              <w:t>например</w:t>
            </w:r>
            <w:r>
              <w:t xml:space="preserve"> стеклофибробетон, гипс).</w:t>
            </w:r>
          </w:p>
          <w:p w14:paraId="07010000">
            <w:pPr>
              <w:pStyle w:val="Style_11"/>
              <w:spacing w:after="0" w:before="0" w:line="240" w:lineRule="auto"/>
              <w:ind w:firstLine="0" w:left="0"/>
              <w:jc w:val="both"/>
            </w:pPr>
            <w:r>
              <w:t>4.12. При объёмно-планировочном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выполнить проработку её колористического решения, предусмотрев применение цветных покрытий (засыпки, мембраны)                                        с учётом визуального восприятия кровли из окон многоэтажных зданий.</w:t>
            </w:r>
          </w:p>
          <w:p w14:paraId="08010000">
            <w:pPr>
              <w:pStyle w:val="Style_3"/>
              <w:spacing w:line="240" w:lineRule="auto"/>
              <w:ind w:firstLine="0" w:left="0"/>
              <w:jc w:val="both"/>
              <w:rPr>
                <w:rFonts w:ascii="Times New Roman" w:hAnsi="Times New Roman"/>
                <w:sz w:val="24"/>
              </w:rPr>
            </w:pPr>
          </w:p>
        </w:tc>
      </w:tr>
      <w:tr>
        <w:tc>
          <w:tcPr>
            <w:tcW w:type="dxa" w:w="799"/>
            <w:tcBorders>
              <w:top w:color="000000" w:sz="4" w:val="single"/>
              <w:left w:color="000000" w:sz="4" w:val="single"/>
              <w:bottom w:color="000000" w:sz="4" w:val="single"/>
              <w:right w:color="000000" w:sz="4" w:val="single"/>
            </w:tcBorders>
          </w:tcPr>
          <w:p w14:paraId="09010000">
            <w:pPr>
              <w:pStyle w:val="Style_3"/>
              <w:spacing w:line="240" w:lineRule="auto"/>
              <w:ind w:firstLine="0" w:left="0"/>
              <w:jc w:val="center"/>
              <w:rPr>
                <w:rFonts w:ascii="Times New Roman" w:hAnsi="Times New Roman"/>
                <w:sz w:val="24"/>
              </w:rPr>
            </w:pPr>
            <w:r>
              <w:rPr>
                <w:rFonts w:ascii="Times New Roman" w:hAnsi="Times New Roman"/>
                <w:sz w:val="24"/>
              </w:rPr>
              <w:t>5</w:t>
            </w:r>
          </w:p>
        </w:tc>
        <w:tc>
          <w:tcPr>
            <w:tcW w:type="dxa" w:w="3603"/>
            <w:tcBorders>
              <w:top w:color="000000" w:sz="4" w:val="single"/>
              <w:left w:color="000000" w:sz="4" w:val="single"/>
              <w:bottom w:color="000000" w:sz="4" w:val="single"/>
              <w:right w:color="000000" w:sz="4" w:val="single"/>
            </w:tcBorders>
          </w:tcPr>
          <w:p w14:paraId="0A010000">
            <w:pPr>
              <w:pStyle w:val="Style_14"/>
              <w:spacing w:line="240" w:lineRule="auto"/>
              <w:ind w:firstLine="0" w:left="0"/>
              <w:rPr>
                <w:sz w:val="24"/>
                <w:highlight w:val="white"/>
              </w:rPr>
            </w:pPr>
            <w:r>
              <w:rPr>
                <w:sz w:val="24"/>
                <w:highlight w:val="white"/>
              </w:rPr>
              <w:t>Требования к размещению технического и инженерного оборудования на фасадах и кровлях зданий</w:t>
            </w:r>
          </w:p>
          <w:p w14:paraId="0B010000">
            <w:pPr>
              <w:pStyle w:val="Style_3"/>
              <w:spacing w:line="240" w:lineRule="auto"/>
              <w:ind w:firstLine="0" w:left="0"/>
              <w:jc w:val="both"/>
              <w:rPr>
                <w:rFonts w:ascii="Times New Roman" w:hAnsi="Times New Roman"/>
                <w:sz w:val="24"/>
              </w:rPr>
            </w:pPr>
          </w:p>
        </w:tc>
        <w:tc>
          <w:tcPr>
            <w:tcW w:type="dxa" w:w="4953"/>
            <w:tcBorders>
              <w:top w:color="000000" w:sz="4" w:val="single"/>
              <w:left w:color="000000" w:sz="4" w:val="single"/>
              <w:bottom w:color="000000" w:sz="4" w:val="single"/>
              <w:right w:color="000000" w:sz="4" w:val="single"/>
            </w:tcBorders>
          </w:tcPr>
          <w:p w14:paraId="0C010000">
            <w:pPr>
              <w:tabs>
                <w:tab w:leader="none" w:pos="993" w:val="left"/>
              </w:tabs>
              <w:spacing w:line="240" w:lineRule="auto"/>
              <w:ind w:firstLine="0" w:left="0"/>
              <w:contextualSpacing w:val="1"/>
              <w:rPr>
                <w:rFonts w:ascii="Times New Roman" w:hAnsi="Times New Roman"/>
                <w:sz w:val="24"/>
                <w:highlight w:val="white"/>
              </w:rPr>
            </w:pPr>
            <w:r>
              <w:rPr>
                <w:rFonts w:ascii="Times New Roman" w:hAnsi="Times New Roman"/>
                <w:sz w:val="24"/>
                <w:highlight w:val="white"/>
              </w:rPr>
              <w:t xml:space="preserve">5.1. Техническое и инженерное оборудование на фасадах зданий включает в себя системы газоснабжения, освещения, связи, телекоммуникации, видеонаблюдения, кондиционирования                                  и вентиляции воздуха. </w:t>
            </w:r>
          </w:p>
          <w:p w14:paraId="0D010000">
            <w:pPr>
              <w:pStyle w:val="Style_14"/>
              <w:spacing w:line="240" w:lineRule="auto"/>
              <w:ind w:firstLine="0" w:left="0"/>
              <w:rPr>
                <w:sz w:val="24"/>
              </w:rPr>
            </w:pPr>
            <w:r>
              <w:rPr>
                <w:sz w:val="24"/>
                <w:highlight w:val="white"/>
              </w:rPr>
              <w:t xml:space="preserve">5.2. Техническое и инженерное оборудование на фасадах                                 и кровлях зданий должны </w:t>
            </w:r>
            <w:r>
              <w:rPr>
                <w:sz w:val="24"/>
                <w:highlight w:val="white"/>
              </w:rPr>
              <w:t xml:space="preserve">размещаться с учётом </w:t>
            </w:r>
            <w:r>
              <w:rPr>
                <w:sz w:val="24"/>
              </w:rPr>
              <w:t>архитектурного облика фасада здания и подчинены</w:t>
            </w:r>
            <w:r>
              <w:rPr>
                <w:sz w:val="24"/>
              </w:rPr>
              <w:t xml:space="preserve"> системе горизонтальных и вертикальных осей членения фасадов.</w:t>
            </w:r>
          </w:p>
          <w:p w14:paraId="0E010000">
            <w:pPr>
              <w:pStyle w:val="Style_14"/>
              <w:spacing w:after="0" w:before="0" w:line="240" w:lineRule="auto"/>
              <w:ind w:firstLine="0" w:left="0"/>
              <w:rPr>
                <w:sz w:val="24"/>
              </w:rPr>
            </w:pPr>
            <w:r>
              <w:rPr>
                <w:sz w:val="24"/>
              </w:rPr>
              <w:t xml:space="preserve">5.3. Размещение </w:t>
            </w:r>
            <w:r>
              <w:rPr>
                <w:sz w:val="24"/>
                <w:highlight w:val="white"/>
              </w:rPr>
              <w:t>технического и инженерного оборудовани</w:t>
            </w:r>
            <w:r>
              <w:rPr>
                <w:sz w:val="24"/>
              </w:rPr>
              <w:t>я должно производиться без ущерба для внешнего вида здания и в строго определённых местах с учётом комплексного решения размещения оборудования при минимальном контакте с архитектурными поверхностями.</w:t>
            </w:r>
          </w:p>
          <w:p w14:paraId="0F010000">
            <w:pPr>
              <w:pStyle w:val="Style_11"/>
              <w:spacing w:after="0" w:before="0" w:line="240" w:lineRule="auto"/>
              <w:ind w:firstLine="0" w:left="0"/>
              <w:jc w:val="both"/>
            </w:pPr>
            <w:r>
              <w:t>5.4. Для размещения наружного блока кондиционера должны предусматриваться специально выделенные конструктивные                                и инженерные элементы (встроенные ниши в объёме здания, наружные конструктивные корзины с обязательным устройством защитных, маскирующих экранов для кондиционеров в плоскости фасада                            и скрытой сопровождающей проводкой по внутреннему контуру жилых помещений).</w:t>
            </w:r>
          </w:p>
          <w:p w14:paraId="10010000">
            <w:pPr>
              <w:pStyle w:val="Style_11"/>
              <w:spacing w:after="0" w:before="0" w:line="240" w:lineRule="auto"/>
              <w:ind w:firstLine="0" w:left="0"/>
              <w:jc w:val="both"/>
            </w:pPr>
            <w:r>
              <w:t>5.5. Должна быть обеспечена нейтральная окраска, максимально приближенная к цветовому фону фасада зданий и строений.</w:t>
            </w:r>
          </w:p>
          <w:p w14:paraId="11010000">
            <w:pPr>
              <w:spacing w:after="0" w:before="0" w:line="240" w:lineRule="auto"/>
              <w:ind w:firstLine="0" w:left="0"/>
              <w:rPr>
                <w:rFonts w:ascii="Times New Roman" w:hAnsi="Times New Roman"/>
                <w:sz w:val="24"/>
                <w:highlight w:val="white"/>
              </w:rPr>
            </w:pPr>
            <w:r>
              <w:rPr>
                <w:rFonts w:ascii="Times New Roman" w:hAnsi="Times New Roman"/>
                <w:sz w:val="24"/>
              </w:rPr>
              <w:t xml:space="preserve">5.6. </w:t>
            </w:r>
            <w:r>
              <w:rPr>
                <w:rFonts w:ascii="Times New Roman" w:hAnsi="Times New Roman"/>
                <w:sz w:val="24"/>
                <w:highlight w:val="white"/>
              </w:rPr>
              <w:t>Не допускается:</w:t>
            </w:r>
          </w:p>
          <w:p w14:paraId="12010000">
            <w:pPr>
              <w:spacing w:after="0" w:before="0" w:line="240" w:lineRule="auto"/>
              <w:ind w:firstLine="0" w:left="0"/>
              <w:rPr>
                <w:rFonts w:ascii="Times New Roman" w:hAnsi="Times New Roman"/>
                <w:sz w:val="24"/>
                <w:highlight w:val="white"/>
              </w:rPr>
            </w:pPr>
            <w:r>
              <w:rPr>
                <w:rFonts w:ascii="Times New Roman" w:hAnsi="Times New Roman"/>
                <w:sz w:val="24"/>
                <w:highlight w:val="white"/>
              </w:rPr>
              <w:t>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13010000">
            <w:pPr>
              <w:spacing w:after="0" w:before="0" w:line="240" w:lineRule="auto"/>
              <w:ind w:firstLine="0" w:left="0"/>
              <w:rPr>
                <w:rFonts w:ascii="Times New Roman" w:hAnsi="Times New Roman"/>
                <w:sz w:val="24"/>
                <w:highlight w:val="white"/>
              </w:rPr>
            </w:pPr>
            <w:r>
              <w:rPr>
                <w:rFonts w:ascii="Times New Roman" w:hAnsi="Times New Roman"/>
                <w:sz w:val="24"/>
                <w:highlight w:val="white"/>
              </w:rPr>
              <w:t>наружная открытая прокладка по фасаду подводящих сетей                          и иных коммуникаций, прокладка сетей с нарушением пластики фасада;</w:t>
            </w:r>
          </w:p>
          <w:p w14:paraId="14010000">
            <w:pPr>
              <w:spacing w:after="0" w:before="0" w:line="240" w:lineRule="auto"/>
              <w:ind w:firstLine="0" w:left="0"/>
              <w:rPr>
                <w:rFonts w:ascii="Times New Roman" w:hAnsi="Times New Roman"/>
                <w:sz w:val="24"/>
                <w:highlight w:val="white"/>
              </w:rPr>
            </w:pPr>
            <w:r>
              <w:rPr>
                <w:rFonts w:ascii="Times New Roman" w:hAnsi="Times New Roman"/>
                <w:sz w:val="24"/>
                <w:highlight w:val="white"/>
              </w:rPr>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15010000">
            <w:pPr>
              <w:pStyle w:val="Style_11"/>
              <w:spacing w:after="0" w:before="0" w:line="240" w:lineRule="auto"/>
              <w:ind w:firstLine="0" w:left="0"/>
              <w:jc w:val="both"/>
            </w:pPr>
            <w:r>
              <w:t>5.7. При реконструкции объекта капитального строительства:</w:t>
            </w:r>
          </w:p>
          <w:p w14:paraId="16010000">
            <w:pPr>
              <w:pStyle w:val="Style_11"/>
              <w:spacing w:after="0" w:before="0" w:line="240" w:lineRule="auto"/>
              <w:ind w:firstLine="0" w:left="0"/>
              <w:jc w:val="both"/>
            </w:pPr>
            <w:r>
              <w:t>- размещение дополнительного оборудования должно обеспечивать сохранность отделки фасада либо её восстановление;</w:t>
            </w:r>
          </w:p>
          <w:p w14:paraId="17010000">
            <w:pPr>
              <w:pStyle w:val="Style_11"/>
              <w:spacing w:after="0" w:before="0" w:line="240" w:lineRule="auto"/>
              <w:ind w:firstLine="0" w:left="0"/>
              <w:jc w:val="both"/>
            </w:pPr>
            <w:r>
              <w:t>- 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18010000">
            <w:pPr>
              <w:pStyle w:val="Style_11"/>
              <w:spacing w:after="0" w:before="0" w:line="240" w:lineRule="auto"/>
              <w:ind w:firstLine="0" w:left="0"/>
              <w:jc w:val="both"/>
            </w:pPr>
            <w:r>
              <w:t>- 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учётом архитектурного решения жилого здания.</w:t>
            </w:r>
          </w:p>
        </w:tc>
      </w:tr>
      <w:tr>
        <w:tc>
          <w:tcPr>
            <w:tcW w:type="dxa" w:w="799"/>
            <w:tcBorders>
              <w:top w:color="000000" w:sz="4" w:val="single"/>
              <w:left w:color="000000" w:sz="4" w:val="single"/>
              <w:bottom w:color="000000" w:sz="4" w:val="single"/>
              <w:right w:color="000000" w:sz="4" w:val="single"/>
            </w:tcBorders>
          </w:tcPr>
          <w:p w14:paraId="19010000">
            <w:pPr>
              <w:pStyle w:val="Style_3"/>
              <w:spacing w:line="240" w:lineRule="auto"/>
              <w:ind w:firstLine="0" w:left="0"/>
              <w:jc w:val="center"/>
              <w:rPr>
                <w:rFonts w:ascii="Times New Roman" w:hAnsi="Times New Roman"/>
                <w:sz w:val="24"/>
              </w:rPr>
            </w:pPr>
            <w:r>
              <w:rPr>
                <w:rFonts w:ascii="Times New Roman" w:hAnsi="Times New Roman"/>
                <w:sz w:val="24"/>
              </w:rPr>
              <w:t>6</w:t>
            </w:r>
          </w:p>
        </w:tc>
        <w:tc>
          <w:tcPr>
            <w:tcW w:type="dxa" w:w="3603"/>
            <w:tcBorders>
              <w:top w:color="000000" w:sz="4" w:val="single"/>
              <w:left w:color="000000" w:sz="4" w:val="single"/>
              <w:bottom w:color="000000" w:sz="4" w:val="single"/>
              <w:right w:color="000000" w:sz="4" w:val="single"/>
            </w:tcBorders>
          </w:tcPr>
          <w:p w14:paraId="1A010000">
            <w:pPr>
              <w:pStyle w:val="Style_3"/>
              <w:spacing w:line="240" w:lineRule="auto"/>
              <w:ind w:firstLine="0" w:left="0"/>
              <w:jc w:val="both"/>
              <w:rPr>
                <w:rFonts w:ascii="Times New Roman" w:hAnsi="Times New Roman"/>
                <w:sz w:val="24"/>
              </w:rPr>
            </w:pPr>
            <w:r>
              <w:rPr>
                <w:rFonts w:ascii="Times New Roman" w:hAnsi="Times New Roman"/>
                <w:sz w:val="24"/>
                <w:highlight w:val="white"/>
              </w:rPr>
              <w:t>Требования к подсветке фасадов зданий</w:t>
            </w:r>
            <w:r>
              <w:rPr>
                <w:rFonts w:ascii="Times New Roman" w:hAnsi="Times New Roman"/>
                <w:sz w:val="24"/>
                <w:highlight w:val="white"/>
              </w:rPr>
              <w:tab/>
            </w:r>
          </w:p>
        </w:tc>
        <w:tc>
          <w:tcPr>
            <w:tcW w:type="dxa" w:w="4953"/>
            <w:tcBorders>
              <w:top w:color="000000" w:sz="4" w:val="single"/>
              <w:left w:color="000000" w:sz="4" w:val="single"/>
              <w:bottom w:color="000000" w:sz="4" w:val="single"/>
              <w:right w:color="000000" w:sz="4" w:val="single"/>
            </w:tcBorders>
          </w:tcPr>
          <w:p w14:paraId="1B010000">
            <w:pPr>
              <w:pStyle w:val="Style_14"/>
              <w:spacing w:line="240" w:lineRule="auto"/>
              <w:ind w:firstLine="0" w:left="0"/>
              <w:rPr>
                <w:b w:val="1"/>
                <w:sz w:val="24"/>
                <w:highlight w:val="white"/>
              </w:rPr>
            </w:pPr>
            <w:r>
              <w:rPr>
                <w:sz w:val="24"/>
              </w:rPr>
              <w:t xml:space="preserve">6.1. При разработке </w:t>
            </w:r>
            <w:r>
              <w:rPr>
                <w:sz w:val="24"/>
              </w:rPr>
              <w:t>архитектурных решений</w:t>
            </w:r>
            <w:r>
              <w:rPr>
                <w:sz w:val="24"/>
              </w:rPr>
              <w:t xml:space="preserve"> может быть предусмотрено выполнение работ по архитектурно-художественному освещению фасадов жилых зданий, визуально воспринимаемых                      со </w:t>
            </w:r>
            <w:r>
              <w:rPr>
                <w:sz w:val="24"/>
              </w:rPr>
              <w:t>стороны улиц, дорог общегородского и районного значений.</w:t>
            </w:r>
          </w:p>
          <w:p w14:paraId="1C010000">
            <w:pPr>
              <w:pStyle w:val="Style_14"/>
              <w:spacing w:line="240" w:lineRule="auto"/>
              <w:ind w:firstLine="0" w:left="0"/>
              <w:rPr>
                <w:sz w:val="24"/>
              </w:rPr>
            </w:pPr>
            <w:r>
              <w:rPr>
                <w:sz w:val="24"/>
              </w:rPr>
              <w:t>6.2. Главными принципами архитектурной подсветки фасадов зданий являются определение основных архитектурно-художественных особенностей и эстетическая выразительность фасадов.</w:t>
            </w:r>
          </w:p>
          <w:p w14:paraId="1D010000">
            <w:pPr>
              <w:pStyle w:val="Style_14"/>
              <w:spacing w:line="240" w:lineRule="auto"/>
              <w:ind w:firstLine="0" w:left="0"/>
              <w:rPr>
                <w:sz w:val="24"/>
              </w:rPr>
            </w:pPr>
            <w:r>
              <w:rPr>
                <w:sz w:val="24"/>
              </w:rPr>
              <w:t>6.3. Приборы архитектурной подсветки должны располагаться таким образом, чтобы их выходные отверстия не оказывались в центре поля зрения водителей и пешеходов на главных направлениях движения транспорта.</w:t>
            </w:r>
          </w:p>
          <w:p w14:paraId="1E010000">
            <w:pPr>
              <w:pStyle w:val="Style_14"/>
              <w:spacing w:line="240" w:lineRule="auto"/>
              <w:ind w:firstLine="0" w:left="0"/>
              <w:rPr>
                <w:sz w:val="24"/>
              </w:rPr>
            </w:pPr>
            <w:r>
              <w:rPr>
                <w:sz w:val="24"/>
              </w:rPr>
              <w:t>6.4.  Форма и размеры приборов архитектурной подсветки должны быть компактных размеров и гармонично смотреться на фасаде здания.</w:t>
            </w:r>
          </w:p>
          <w:p w14:paraId="1F010000">
            <w:pPr>
              <w:pStyle w:val="Style_14"/>
              <w:spacing w:line="240" w:lineRule="auto"/>
              <w:ind w:firstLine="0" w:left="0"/>
              <w:rPr>
                <w:sz w:val="24"/>
              </w:rPr>
            </w:pPr>
            <w:r>
              <w:rPr>
                <w:sz w:val="24"/>
              </w:rPr>
              <w:t>6.5. Световое оформление входных групп, витрин, средств информационного оформления и наружной рекламы, знаков адресации должно осуществляться в комплексе с оформлением всего фасада здания, не разбивая фасад на составляющие части</w:t>
            </w:r>
            <w:r>
              <w:rPr>
                <w:sz w:val="24"/>
              </w:rPr>
              <w:t>.».</w:t>
            </w:r>
          </w:p>
        </w:tc>
      </w:tr>
    </w:tbl>
    <w:p w14:paraId="20010000">
      <w:pPr>
        <w:pStyle w:val="Style_3"/>
        <w:spacing w:line="276" w:lineRule="auto"/>
        <w:ind/>
        <w:jc w:val="both"/>
        <w:rPr>
          <w:rFonts w:ascii="Times New Roman" w:hAnsi="Times New Roman"/>
          <w:sz w:val="24"/>
        </w:rPr>
      </w:pPr>
    </w:p>
    <w:p w14:paraId="21010000">
      <w:pPr>
        <w:pStyle w:val="Style_3"/>
        <w:spacing w:line="240" w:lineRule="auto"/>
        <w:ind w:firstLine="709" w:left="0"/>
        <w:jc w:val="both"/>
        <w:rPr>
          <w:rFonts w:ascii="Times New Roman" w:hAnsi="Times New Roman"/>
          <w:sz w:val="24"/>
        </w:rPr>
      </w:pPr>
      <w:r>
        <w:rPr>
          <w:rFonts w:ascii="Times New Roman" w:hAnsi="Times New Roman"/>
          <w:sz w:val="24"/>
        </w:rPr>
        <w:t>2. Настоящее решение вступает в силу со дня его официального опубликования.</w:t>
      </w:r>
    </w:p>
    <w:p w14:paraId="22010000">
      <w:pPr>
        <w:pStyle w:val="Style_3"/>
        <w:spacing w:line="240" w:lineRule="auto"/>
        <w:ind w:firstLine="709" w:left="0"/>
        <w:jc w:val="both"/>
        <w:rPr>
          <w:rFonts w:ascii="Times New Roman" w:hAnsi="Times New Roman"/>
          <w:sz w:val="24"/>
        </w:rPr>
      </w:pPr>
      <w:r>
        <w:rPr>
          <w:rFonts w:ascii="Times New Roman" w:hAnsi="Times New Roman"/>
          <w:sz w:val="24"/>
        </w:rPr>
        <w:t>3. Опубликовать настоящее решение в газете «Коммуна» и разместить на официальном сайте муниципального образования «Дедовичи» в сети «Интернет».</w:t>
      </w:r>
    </w:p>
    <w:p w14:paraId="23010000">
      <w:pPr>
        <w:pStyle w:val="Style_3"/>
        <w:spacing w:line="240" w:lineRule="auto"/>
        <w:ind w:firstLine="709" w:left="0"/>
        <w:jc w:val="both"/>
        <w:rPr>
          <w:rFonts w:ascii="Times New Roman" w:hAnsi="Times New Roman"/>
          <w:sz w:val="24"/>
        </w:rPr>
      </w:pPr>
      <w:r>
        <w:rPr>
          <w:rFonts w:ascii="Times New Roman" w:hAnsi="Times New Roman"/>
          <w:sz w:val="24"/>
        </w:rPr>
        <w:t xml:space="preserve">4. </w:t>
      </w:r>
      <w:r>
        <w:rPr>
          <w:rFonts w:ascii="Times New Roman" w:hAnsi="Times New Roman"/>
          <w:sz w:val="24"/>
        </w:rPr>
        <w:t>Контроль за</w:t>
      </w:r>
      <w:r>
        <w:rPr>
          <w:rFonts w:ascii="Times New Roman" w:hAnsi="Times New Roman"/>
          <w:sz w:val="24"/>
        </w:rPr>
        <w:t xml:space="preserve"> исполнением настоящего решение возложить на Главу  Администрации городского поселения «Дедовичи».</w:t>
      </w:r>
    </w:p>
    <w:p w14:paraId="24010000">
      <w:pPr>
        <w:pStyle w:val="Style_3"/>
        <w:spacing w:line="276" w:lineRule="auto"/>
        <w:ind/>
        <w:jc w:val="both"/>
        <w:rPr>
          <w:rFonts w:ascii="Times New Roman" w:hAnsi="Times New Roman"/>
          <w:sz w:val="24"/>
        </w:rPr>
      </w:pPr>
    </w:p>
    <w:p w14:paraId="25010000">
      <w:pPr>
        <w:pStyle w:val="Style_3"/>
        <w:spacing w:line="276" w:lineRule="auto"/>
        <w:ind w:firstLine="540" w:left="0"/>
        <w:jc w:val="both"/>
        <w:rPr>
          <w:rFonts w:ascii="Times New Roman" w:hAnsi="Times New Roman"/>
          <w:sz w:val="24"/>
        </w:rPr>
      </w:pPr>
    </w:p>
    <w:p w14:paraId="26010000">
      <w:pPr>
        <w:pStyle w:val="Style_3"/>
        <w:spacing w:line="276" w:lineRule="auto"/>
        <w:ind/>
        <w:jc w:val="both"/>
        <w:rPr>
          <w:rFonts w:ascii="Times New Roman" w:hAnsi="Times New Roman"/>
          <w:sz w:val="24"/>
        </w:rPr>
      </w:pPr>
      <w:r>
        <w:rPr>
          <w:rFonts w:ascii="Times New Roman" w:hAnsi="Times New Roman"/>
          <w:sz w:val="24"/>
        </w:rPr>
        <w:t>Заместитель председателя Собрания депутатов</w:t>
      </w:r>
    </w:p>
    <w:p w14:paraId="27010000">
      <w:pPr>
        <w:pStyle w:val="Style_3"/>
        <w:spacing w:line="276" w:lineRule="auto"/>
        <w:ind/>
        <w:jc w:val="both"/>
        <w:rPr>
          <w:rFonts w:ascii="Times New Roman" w:hAnsi="Times New Roman"/>
          <w:sz w:val="24"/>
        </w:rPr>
      </w:pPr>
      <w:r>
        <w:rPr>
          <w:rFonts w:ascii="Times New Roman" w:hAnsi="Times New Roman"/>
          <w:sz w:val="24"/>
        </w:rPr>
        <w:t>городского поселения «Дедовичи»                                                                           Т.Н. Демина</w:t>
      </w:r>
    </w:p>
    <w:sectPr>
      <w:headerReference r:id="rId1" w:type="default"/>
      <w:pgSz w:h="16838" w:orient="portrait" w:w="11906"/>
      <w:pgMar w:bottom="1134" w:footer="708" w:gutter="0" w:header="708"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sz w:val="24"/>
      </w:rP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5" w:type="paragraph">
    <w:name w:val="Normal"/>
    <w:link w:val="Style_15_ch"/>
    <w:uiPriority w:val="0"/>
    <w:qFormat/>
    <w:pPr>
      <w:ind w:firstLine="709" w:left="0"/>
      <w:jc w:val="both"/>
    </w:pPr>
    <w:rPr>
      <w:sz w:val="22"/>
    </w:rPr>
  </w:style>
  <w:style w:default="1" w:styleId="Style_15_ch" w:type="character">
    <w:name w:val="Normal"/>
    <w:link w:val="Style_15"/>
    <w:rPr>
      <w:sz w:val="22"/>
    </w:rPr>
  </w:style>
  <w:style w:styleId="Style_16" w:type="paragraph">
    <w:name w:val="toc 2"/>
    <w:next w:val="Style_15"/>
    <w:link w:val="Style_16_ch"/>
    <w:uiPriority w:val="39"/>
    <w:pPr>
      <w:ind w:firstLine="0" w:left="200"/>
    </w:pPr>
    <w:rPr>
      <w:rFonts w:ascii="XO Thames" w:hAnsi="XO Thames"/>
      <w:sz w:val="28"/>
    </w:rPr>
  </w:style>
  <w:style w:styleId="Style_16_ch" w:type="character">
    <w:name w:val="toc 2"/>
    <w:link w:val="Style_16"/>
    <w:rPr>
      <w:rFonts w:ascii="XO Thames" w:hAnsi="XO Thames"/>
      <w:sz w:val="28"/>
    </w:rPr>
  </w:style>
  <w:style w:styleId="Style_17" w:type="paragraph">
    <w:name w:val="toc 4"/>
    <w:next w:val="Style_15"/>
    <w:link w:val="Style_17_ch"/>
    <w:uiPriority w:val="39"/>
    <w:pPr>
      <w:ind w:firstLine="0" w:left="600"/>
    </w:pPr>
    <w:rPr>
      <w:rFonts w:ascii="XO Thames" w:hAnsi="XO Thames"/>
      <w:sz w:val="28"/>
    </w:rPr>
  </w:style>
  <w:style w:styleId="Style_17_ch" w:type="character">
    <w:name w:val="toc 4"/>
    <w:link w:val="Style_17"/>
    <w:rPr>
      <w:rFonts w:ascii="XO Thames" w:hAnsi="XO Thames"/>
      <w:sz w:val="28"/>
    </w:rPr>
  </w:style>
  <w:style w:styleId="Style_18" w:type="paragraph">
    <w:name w:val="t"/>
    <w:basedOn w:val="Style_15"/>
    <w:link w:val="Style_18_ch"/>
    <w:pPr>
      <w:spacing w:afterAutospacing="on" w:beforeAutospacing="on"/>
      <w:ind w:firstLine="0" w:left="0"/>
      <w:jc w:val="left"/>
    </w:pPr>
    <w:rPr>
      <w:rFonts w:ascii="Times New Roman" w:hAnsi="Times New Roman"/>
      <w:sz w:val="24"/>
    </w:rPr>
  </w:style>
  <w:style w:styleId="Style_18_ch" w:type="character">
    <w:name w:val="t"/>
    <w:basedOn w:val="Style_15_ch"/>
    <w:link w:val="Style_18"/>
    <w:rPr>
      <w:rFonts w:ascii="Times New Roman" w:hAnsi="Times New Roman"/>
      <w:sz w:val="24"/>
    </w:rPr>
  </w:style>
  <w:style w:styleId="Style_19" w:type="paragraph">
    <w:name w:val="toc 6"/>
    <w:next w:val="Style_15"/>
    <w:link w:val="Style_19_ch"/>
    <w:uiPriority w:val="39"/>
    <w:pPr>
      <w:ind w:firstLine="0" w:left="1000"/>
    </w:pPr>
    <w:rPr>
      <w:rFonts w:ascii="XO Thames" w:hAnsi="XO Thames"/>
      <w:sz w:val="28"/>
    </w:rPr>
  </w:style>
  <w:style w:styleId="Style_19_ch" w:type="character">
    <w:name w:val="toc 6"/>
    <w:link w:val="Style_19"/>
    <w:rPr>
      <w:rFonts w:ascii="XO Thames" w:hAnsi="XO Thames"/>
      <w:sz w:val="28"/>
    </w:rPr>
  </w:style>
  <w:style w:styleId="Style_20" w:type="paragraph">
    <w:name w:val="Обычный1"/>
    <w:link w:val="Style_20_ch"/>
    <w:rPr>
      <w:sz w:val="22"/>
    </w:rPr>
  </w:style>
  <w:style w:styleId="Style_20_ch" w:type="character">
    <w:name w:val="Обычный1"/>
    <w:link w:val="Style_20"/>
    <w:rPr>
      <w:sz w:val="22"/>
    </w:rPr>
  </w:style>
  <w:style w:styleId="Style_21" w:type="paragraph">
    <w:name w:val="toc 7"/>
    <w:next w:val="Style_15"/>
    <w:link w:val="Style_21_ch"/>
    <w:uiPriority w:val="39"/>
    <w:pPr>
      <w:ind w:firstLine="0" w:left="1200"/>
    </w:pPr>
    <w:rPr>
      <w:rFonts w:ascii="XO Thames" w:hAnsi="XO Thames"/>
      <w:sz w:val="28"/>
    </w:rPr>
  </w:style>
  <w:style w:styleId="Style_21_ch" w:type="character">
    <w:name w:val="toc 7"/>
    <w:link w:val="Style_21"/>
    <w:rPr>
      <w:rFonts w:ascii="XO Thames" w:hAnsi="XO Thames"/>
      <w:sz w:val="28"/>
    </w:rPr>
  </w:style>
  <w:style w:styleId="Style_22" w:type="paragraph">
    <w:name w:val="extendedtext-full"/>
    <w:basedOn w:val="Style_23"/>
    <w:link w:val="Style_22_ch"/>
  </w:style>
  <w:style w:styleId="Style_22_ch" w:type="character">
    <w:name w:val="extendedtext-full"/>
    <w:basedOn w:val="Style_23_ch"/>
    <w:link w:val="Style_22"/>
  </w:style>
  <w:style w:styleId="Style_24" w:type="paragraph">
    <w:name w:val="footer"/>
    <w:basedOn w:val="Style_15"/>
    <w:link w:val="Style_24_ch"/>
    <w:pPr>
      <w:tabs>
        <w:tab w:leader="none" w:pos="4677" w:val="center"/>
        <w:tab w:leader="none" w:pos="9355" w:val="right"/>
      </w:tabs>
      <w:ind/>
    </w:pPr>
  </w:style>
  <w:style w:styleId="Style_24_ch" w:type="character">
    <w:name w:val="footer"/>
    <w:basedOn w:val="Style_15_ch"/>
    <w:link w:val="Style_24"/>
  </w:style>
  <w:style w:styleId="Style_25" w:type="paragraph">
    <w:name w:val="Balloon Text"/>
    <w:basedOn w:val="Style_15"/>
    <w:link w:val="Style_25_ch"/>
    <w:rPr>
      <w:rFonts w:ascii="Tahoma" w:hAnsi="Tahoma"/>
      <w:sz w:val="16"/>
    </w:rPr>
  </w:style>
  <w:style w:styleId="Style_25_ch" w:type="character">
    <w:name w:val="Balloon Text"/>
    <w:basedOn w:val="Style_15_ch"/>
    <w:link w:val="Style_25"/>
    <w:rPr>
      <w:rFonts w:ascii="Tahoma" w:hAnsi="Tahoma"/>
      <w:sz w:val="16"/>
    </w:rPr>
  </w:style>
  <w:style w:styleId="Style_26" w:type="paragraph">
    <w:name w:val="heading 3"/>
    <w:next w:val="Style_15"/>
    <w:link w:val="Style_26_ch"/>
    <w:uiPriority w:val="9"/>
    <w:qFormat/>
    <w:pPr>
      <w:spacing w:after="120" w:before="120"/>
      <w:ind/>
      <w:jc w:val="both"/>
      <w:outlineLvl w:val="2"/>
    </w:pPr>
    <w:rPr>
      <w:rFonts w:ascii="XO Thames" w:hAnsi="XO Thames"/>
      <w:b w:val="1"/>
      <w:sz w:val="26"/>
    </w:rPr>
  </w:style>
  <w:style w:styleId="Style_26_ch" w:type="character">
    <w:name w:val="heading 3"/>
    <w:link w:val="Style_26"/>
    <w:rPr>
      <w:rFonts w:ascii="XO Thames" w:hAnsi="XO Thames"/>
      <w:b w:val="1"/>
      <w:sz w:val="26"/>
    </w:rPr>
  </w:style>
  <w:style w:styleId="Style_14" w:type="paragraph">
    <w:name w:val="Основной текст1"/>
    <w:basedOn w:val="Style_27"/>
    <w:link w:val="Style_14_ch"/>
    <w:pPr>
      <w:widowControl w:val="0"/>
      <w:spacing w:after="0"/>
      <w:ind w:firstLine="0" w:left="352"/>
      <w:jc w:val="both"/>
      <w:outlineLvl w:val="8"/>
    </w:pPr>
    <w:rPr>
      <w:rFonts w:ascii="Times New Roman" w:hAnsi="Times New Roman"/>
      <w:sz w:val="28"/>
    </w:rPr>
  </w:style>
  <w:style w:styleId="Style_14_ch" w:type="character">
    <w:name w:val="Основной текст1"/>
    <w:basedOn w:val="Style_27_ch"/>
    <w:link w:val="Style_14"/>
    <w:rPr>
      <w:rFonts w:ascii="Times New Roman" w:hAnsi="Times New Roman"/>
      <w:sz w:val="28"/>
    </w:rPr>
  </w:style>
  <w:style w:styleId="Style_4" w:type="paragraph">
    <w:name w:val="Style10"/>
    <w:basedOn w:val="Style_15"/>
    <w:link w:val="Style_4_ch"/>
    <w:pPr>
      <w:widowControl w:val="0"/>
      <w:spacing w:line="482" w:lineRule="exact"/>
      <w:ind w:firstLine="739" w:left="0"/>
    </w:pPr>
    <w:rPr>
      <w:rFonts w:ascii="Times New Roman" w:hAnsi="Times New Roman"/>
      <w:sz w:val="24"/>
    </w:rPr>
  </w:style>
  <w:style w:styleId="Style_4_ch" w:type="character">
    <w:name w:val="Style10"/>
    <w:basedOn w:val="Style_15_ch"/>
    <w:link w:val="Style_4"/>
    <w:rPr>
      <w:rFonts w:ascii="Times New Roman" w:hAnsi="Times New Roman"/>
      <w:sz w:val="24"/>
    </w:rPr>
  </w:style>
  <w:style w:styleId="Style_10" w:type="paragraph">
    <w:name w:val="cmd"/>
    <w:basedOn w:val="Style_23"/>
    <w:link w:val="Style_10_ch"/>
  </w:style>
  <w:style w:styleId="Style_10_ch" w:type="character">
    <w:name w:val="cmd"/>
    <w:basedOn w:val="Style_23_ch"/>
    <w:link w:val="Style_10"/>
  </w:style>
  <w:style w:styleId="Style_11" w:type="paragraph">
    <w:name w:val="Normal (Web)"/>
    <w:basedOn w:val="Style_15"/>
    <w:link w:val="Style_11_ch"/>
    <w:pPr>
      <w:spacing w:afterAutospacing="on" w:beforeAutospacing="on"/>
      <w:ind w:firstLine="0" w:left="0"/>
      <w:jc w:val="left"/>
    </w:pPr>
    <w:rPr>
      <w:rFonts w:ascii="Times New Roman" w:hAnsi="Times New Roman"/>
      <w:sz w:val="24"/>
    </w:rPr>
  </w:style>
  <w:style w:styleId="Style_11_ch" w:type="character">
    <w:name w:val="Normal (Web)"/>
    <w:basedOn w:val="Style_15_ch"/>
    <w:link w:val="Style_11"/>
    <w:rPr>
      <w:rFonts w:ascii="Times New Roman" w:hAnsi="Times New Roman"/>
      <w:sz w:val="24"/>
    </w:rPr>
  </w:style>
  <w:style w:styleId="Style_28" w:type="paragraph">
    <w:name w:val="toc 3"/>
    <w:next w:val="Style_15"/>
    <w:link w:val="Style_28_ch"/>
    <w:uiPriority w:val="39"/>
    <w:pPr>
      <w:ind w:firstLine="0" w:left="400"/>
    </w:pPr>
    <w:rPr>
      <w:rFonts w:ascii="XO Thames" w:hAnsi="XO Thames"/>
      <w:sz w:val="28"/>
    </w:rPr>
  </w:style>
  <w:style w:styleId="Style_28_ch" w:type="character">
    <w:name w:val="toc 3"/>
    <w:link w:val="Style_28"/>
    <w:rPr>
      <w:rFonts w:ascii="XO Thames" w:hAnsi="XO Thames"/>
      <w:sz w:val="28"/>
    </w:rPr>
  </w:style>
  <w:style w:styleId="Style_29" w:type="paragraph">
    <w:name w:val="ConsPlusTitlePage"/>
    <w:link w:val="Style_29_ch"/>
    <w:pPr>
      <w:widowControl w:val="0"/>
      <w:ind/>
    </w:pPr>
    <w:rPr>
      <w:rFonts w:ascii="Tahoma" w:hAnsi="Tahoma"/>
    </w:rPr>
  </w:style>
  <w:style w:styleId="Style_29_ch" w:type="character">
    <w:name w:val="ConsPlusTitlePage"/>
    <w:link w:val="Style_29"/>
    <w:rPr>
      <w:rFonts w:ascii="Tahoma" w:hAnsi="Tahoma"/>
    </w:rPr>
  </w:style>
  <w:style w:styleId="Style_3" w:type="paragraph">
    <w:name w:val="ConsPlusNormal"/>
    <w:link w:val="Style_3_ch"/>
    <w:pPr>
      <w:widowControl w:val="0"/>
      <w:ind/>
    </w:pPr>
    <w:rPr>
      <w:sz w:val="22"/>
    </w:rPr>
  </w:style>
  <w:style w:styleId="Style_3_ch" w:type="character">
    <w:name w:val="ConsPlusNormal"/>
    <w:link w:val="Style_3"/>
    <w:rPr>
      <w:sz w:val="22"/>
    </w:rPr>
  </w:style>
  <w:style w:styleId="Style_2" w:type="paragraph">
    <w:name w:val="ConsPlusTitle"/>
    <w:link w:val="Style_2_ch"/>
    <w:pPr>
      <w:widowControl w:val="0"/>
      <w:ind/>
    </w:pPr>
    <w:rPr>
      <w:b w:val="1"/>
      <w:sz w:val="22"/>
    </w:rPr>
  </w:style>
  <w:style w:styleId="Style_2_ch" w:type="character">
    <w:name w:val="ConsPlusTitle"/>
    <w:link w:val="Style_2"/>
    <w:rPr>
      <w:b w:val="1"/>
      <w:sz w:val="22"/>
    </w:rPr>
  </w:style>
  <w:style w:styleId="Style_30" w:type="paragraph">
    <w:name w:val="s"/>
    <w:basedOn w:val="Style_15"/>
    <w:link w:val="Style_30_ch"/>
    <w:pPr>
      <w:spacing w:afterAutospacing="on" w:beforeAutospacing="on"/>
      <w:ind w:firstLine="0" w:left="0"/>
      <w:jc w:val="left"/>
    </w:pPr>
    <w:rPr>
      <w:rFonts w:ascii="Times New Roman" w:hAnsi="Times New Roman"/>
      <w:sz w:val="24"/>
    </w:rPr>
  </w:style>
  <w:style w:styleId="Style_30_ch" w:type="character">
    <w:name w:val="s"/>
    <w:basedOn w:val="Style_15_ch"/>
    <w:link w:val="Style_30"/>
    <w:rPr>
      <w:rFonts w:ascii="Times New Roman" w:hAnsi="Times New Roman"/>
      <w:sz w:val="24"/>
    </w:rPr>
  </w:style>
  <w:style w:styleId="Style_31" w:type="paragraph">
    <w:name w:val="heading 5"/>
    <w:next w:val="Style_15"/>
    <w:link w:val="Style_31_ch"/>
    <w:uiPriority w:val="9"/>
    <w:qFormat/>
    <w:pPr>
      <w:spacing w:after="120" w:before="120"/>
      <w:ind/>
      <w:jc w:val="both"/>
      <w:outlineLvl w:val="4"/>
    </w:pPr>
    <w:rPr>
      <w:rFonts w:ascii="XO Thames" w:hAnsi="XO Thames"/>
      <w:b w:val="1"/>
      <w:sz w:val="22"/>
    </w:rPr>
  </w:style>
  <w:style w:styleId="Style_31_ch" w:type="character">
    <w:name w:val="heading 5"/>
    <w:link w:val="Style_31"/>
    <w:rPr>
      <w:rFonts w:ascii="XO Thames" w:hAnsi="XO Thames"/>
      <w:b w:val="1"/>
      <w:sz w:val="22"/>
    </w:rPr>
  </w:style>
  <w:style w:styleId="Style_12" w:type="paragraph">
    <w:name w:val=".FORMATTEXT"/>
    <w:link w:val="Style_12_ch"/>
    <w:pPr>
      <w:widowControl w:val="0"/>
      <w:ind/>
    </w:pPr>
    <w:rPr>
      <w:rFonts w:ascii="Arial" w:hAnsi="Arial"/>
    </w:rPr>
  </w:style>
  <w:style w:styleId="Style_12_ch" w:type="character">
    <w:name w:val=".FORMATTEXT"/>
    <w:link w:val="Style_12"/>
    <w:rPr>
      <w:rFonts w:ascii="Arial" w:hAnsi="Arial"/>
    </w:rPr>
  </w:style>
  <w:style w:styleId="Style_6" w:type="paragraph">
    <w:name w:val="Default"/>
    <w:link w:val="Style_6_ch"/>
    <w:rPr>
      <w:rFonts w:ascii="Times New Roman" w:hAnsi="Times New Roman"/>
      <w:sz w:val="24"/>
    </w:rPr>
  </w:style>
  <w:style w:styleId="Style_6_ch" w:type="character">
    <w:name w:val="Default"/>
    <w:link w:val="Style_6"/>
    <w:rPr>
      <w:rFonts w:ascii="Times New Roman" w:hAnsi="Times New Roman"/>
      <w:sz w:val="24"/>
    </w:rPr>
  </w:style>
  <w:style w:styleId="Style_32" w:type="paragraph">
    <w:name w:val="heading 1"/>
    <w:next w:val="Style_15"/>
    <w:link w:val="Style_32_ch"/>
    <w:uiPriority w:val="9"/>
    <w:qFormat/>
    <w:pPr>
      <w:spacing w:after="120" w:before="120"/>
      <w:ind/>
      <w:jc w:val="both"/>
      <w:outlineLvl w:val="0"/>
    </w:pPr>
    <w:rPr>
      <w:rFonts w:ascii="XO Thames" w:hAnsi="XO Thames"/>
      <w:b w:val="1"/>
      <w:sz w:val="32"/>
    </w:rPr>
  </w:style>
  <w:style w:styleId="Style_32_ch" w:type="character">
    <w:name w:val="heading 1"/>
    <w:link w:val="Style_32"/>
    <w:rPr>
      <w:rFonts w:ascii="XO Thames" w:hAnsi="XO Thames"/>
      <w:b w:val="1"/>
      <w:sz w:val="32"/>
    </w:rPr>
  </w:style>
  <w:style w:styleId="Style_7" w:type="paragraph">
    <w:name w:val="Интернет-ссылка"/>
    <w:basedOn w:val="Style_33"/>
    <w:link w:val="Style_7_ch"/>
    <w:rPr>
      <w:color w:val="0000FF"/>
      <w:u w:val="single"/>
    </w:rPr>
  </w:style>
  <w:style w:styleId="Style_7_ch" w:type="character">
    <w:name w:val="Интернет-ссылка"/>
    <w:basedOn w:val="Style_33_ch"/>
    <w:link w:val="Style_7"/>
    <w:rPr>
      <w:color w:val="0000FF"/>
      <w:u w:val="single"/>
    </w:rPr>
  </w:style>
  <w:style w:styleId="Style_34" w:type="paragraph">
    <w:name w:val="Hyperlink"/>
    <w:link w:val="Style_34_ch"/>
    <w:rPr>
      <w:color w:val="0000FF"/>
      <w:u w:val="single"/>
    </w:rPr>
  </w:style>
  <w:style w:styleId="Style_34_ch" w:type="character">
    <w:name w:val="Hyperlink"/>
    <w:link w:val="Style_34"/>
    <w:rPr>
      <w:color w:val="0000FF"/>
      <w:u w:val="single"/>
    </w:rPr>
  </w:style>
  <w:style w:styleId="Style_35" w:type="paragraph">
    <w:name w:val="Footnote"/>
    <w:link w:val="Style_35_ch"/>
    <w:pPr>
      <w:ind w:firstLine="851" w:left="0"/>
      <w:jc w:val="both"/>
    </w:pPr>
    <w:rPr>
      <w:rFonts w:ascii="XO Thames" w:hAnsi="XO Thames"/>
      <w:sz w:val="22"/>
    </w:rPr>
  </w:style>
  <w:style w:styleId="Style_35_ch" w:type="character">
    <w:name w:val="Footnote"/>
    <w:link w:val="Style_35"/>
    <w:rPr>
      <w:rFonts w:ascii="XO Thames" w:hAnsi="XO Thames"/>
      <w:sz w:val="22"/>
    </w:rPr>
  </w:style>
  <w:style w:styleId="Style_36" w:type="paragraph">
    <w:name w:val="toc 1"/>
    <w:next w:val="Style_15"/>
    <w:link w:val="Style_36_ch"/>
    <w:uiPriority w:val="39"/>
    <w:rPr>
      <w:rFonts w:ascii="XO Thames" w:hAnsi="XO Thames"/>
      <w:b w:val="1"/>
      <w:sz w:val="28"/>
    </w:rPr>
  </w:style>
  <w:style w:styleId="Style_36_ch" w:type="character">
    <w:name w:val="toc 1"/>
    <w:link w:val="Style_36"/>
    <w:rPr>
      <w:rFonts w:ascii="XO Thames" w:hAnsi="XO Thames"/>
      <w:b w:val="1"/>
      <w:sz w:val="28"/>
    </w:rPr>
  </w:style>
  <w:style w:styleId="Style_37" w:type="paragraph">
    <w:name w:val="Header and Footer"/>
    <w:link w:val="Style_37_ch"/>
    <w:pPr>
      <w:ind/>
      <w:jc w:val="both"/>
    </w:pPr>
    <w:rPr>
      <w:rFonts w:ascii="XO Thames" w:hAnsi="XO Thames"/>
    </w:rPr>
  </w:style>
  <w:style w:styleId="Style_37_ch" w:type="character">
    <w:name w:val="Header and Footer"/>
    <w:link w:val="Style_37"/>
    <w:rPr>
      <w:rFonts w:ascii="XO Thames" w:hAnsi="XO Thames"/>
    </w:rPr>
  </w:style>
  <w:style w:styleId="Style_38" w:type="paragraph">
    <w:name w:val="toc 9"/>
    <w:next w:val="Style_15"/>
    <w:link w:val="Style_38_ch"/>
    <w:uiPriority w:val="39"/>
    <w:pPr>
      <w:ind w:firstLine="0" w:left="1600"/>
    </w:pPr>
    <w:rPr>
      <w:rFonts w:ascii="XO Thames" w:hAnsi="XO Thames"/>
      <w:sz w:val="28"/>
    </w:rPr>
  </w:style>
  <w:style w:styleId="Style_38_ch" w:type="character">
    <w:name w:val="toc 9"/>
    <w:link w:val="Style_38"/>
    <w:rPr>
      <w:rFonts w:ascii="XO Thames" w:hAnsi="XO Thames"/>
      <w:sz w:val="28"/>
    </w:rPr>
  </w:style>
  <w:style w:styleId="Style_23" w:type="paragraph">
    <w:name w:val="Основной шрифт абзаца1"/>
    <w:link w:val="Style_23_ch"/>
  </w:style>
  <w:style w:styleId="Style_23_ch" w:type="character">
    <w:name w:val="Основной шрифт абзаца1"/>
    <w:link w:val="Style_23"/>
  </w:style>
  <w:style w:styleId="Style_8" w:type="paragraph">
    <w:name w:val="Гиперссылка1"/>
    <w:basedOn w:val="Style_23"/>
    <w:link w:val="Style_8_ch"/>
    <w:rPr>
      <w:color w:val="0000FF"/>
      <w:u w:val="single"/>
    </w:rPr>
  </w:style>
  <w:style w:styleId="Style_8_ch" w:type="character">
    <w:name w:val="Гиперссылка1"/>
    <w:basedOn w:val="Style_23_ch"/>
    <w:link w:val="Style_8"/>
    <w:rPr>
      <w:color w:val="0000FF"/>
      <w:u w:val="single"/>
    </w:rPr>
  </w:style>
  <w:style w:styleId="Style_5" w:type="paragraph">
    <w:name w:val="Font Style35"/>
    <w:basedOn w:val="Style_23"/>
    <w:link w:val="Style_5_ch"/>
    <w:rPr>
      <w:rFonts w:ascii="Times New Roman" w:hAnsi="Times New Roman"/>
      <w:sz w:val="24"/>
    </w:rPr>
  </w:style>
  <w:style w:styleId="Style_5_ch" w:type="character">
    <w:name w:val="Font Style35"/>
    <w:basedOn w:val="Style_23_ch"/>
    <w:link w:val="Style_5"/>
    <w:rPr>
      <w:rFonts w:ascii="Times New Roman" w:hAnsi="Times New Roman"/>
      <w:sz w:val="24"/>
    </w:rPr>
  </w:style>
  <w:style w:styleId="Style_33" w:type="paragraph">
    <w:name w:val="Default Paragraph Font"/>
    <w:link w:val="Style_33_ch"/>
  </w:style>
  <w:style w:styleId="Style_33_ch" w:type="character">
    <w:name w:val="Default Paragraph Font"/>
    <w:link w:val="Style_33"/>
  </w:style>
  <w:style w:styleId="Style_39" w:type="paragraph">
    <w:name w:val="toc 8"/>
    <w:next w:val="Style_15"/>
    <w:link w:val="Style_39_ch"/>
    <w:uiPriority w:val="39"/>
    <w:pPr>
      <w:ind w:firstLine="0" w:left="1400"/>
    </w:pPr>
    <w:rPr>
      <w:rFonts w:ascii="XO Thames" w:hAnsi="XO Thames"/>
      <w:sz w:val="28"/>
    </w:rPr>
  </w:style>
  <w:style w:styleId="Style_39_ch" w:type="character">
    <w:name w:val="toc 8"/>
    <w:link w:val="Style_39"/>
    <w:rPr>
      <w:rFonts w:ascii="XO Thames" w:hAnsi="XO Thames"/>
      <w:sz w:val="28"/>
    </w:rPr>
  </w:style>
  <w:style w:styleId="Style_40" w:type="paragraph">
    <w:name w:val="z"/>
    <w:basedOn w:val="Style_15"/>
    <w:link w:val="Style_40_ch"/>
    <w:pPr>
      <w:spacing w:afterAutospacing="on" w:beforeAutospacing="on"/>
      <w:ind w:firstLine="0" w:left="0"/>
      <w:jc w:val="left"/>
    </w:pPr>
    <w:rPr>
      <w:rFonts w:ascii="Times New Roman" w:hAnsi="Times New Roman"/>
      <w:sz w:val="24"/>
    </w:rPr>
  </w:style>
  <w:style w:styleId="Style_40_ch" w:type="character">
    <w:name w:val="z"/>
    <w:basedOn w:val="Style_15_ch"/>
    <w:link w:val="Style_40"/>
    <w:rPr>
      <w:rFonts w:ascii="Times New Roman" w:hAnsi="Times New Roman"/>
      <w:sz w:val="24"/>
    </w:rPr>
  </w:style>
  <w:style w:styleId="Style_9" w:type="paragraph">
    <w:name w:val="w9"/>
    <w:basedOn w:val="Style_23"/>
    <w:link w:val="Style_9_ch"/>
  </w:style>
  <w:style w:styleId="Style_9_ch" w:type="character">
    <w:name w:val="w9"/>
    <w:basedOn w:val="Style_23_ch"/>
    <w:link w:val="Style_9"/>
  </w:style>
  <w:style w:styleId="Style_41" w:type="paragraph">
    <w:name w:val="toc 5"/>
    <w:next w:val="Style_15"/>
    <w:link w:val="Style_41_ch"/>
    <w:uiPriority w:val="39"/>
    <w:pPr>
      <w:ind w:firstLine="0" w:left="800"/>
    </w:pPr>
    <w:rPr>
      <w:rFonts w:ascii="XO Thames" w:hAnsi="XO Thames"/>
      <w:sz w:val="28"/>
    </w:rPr>
  </w:style>
  <w:style w:styleId="Style_41_ch" w:type="character">
    <w:name w:val="toc 5"/>
    <w:link w:val="Style_41"/>
    <w:rPr>
      <w:rFonts w:ascii="XO Thames" w:hAnsi="XO Thames"/>
      <w:sz w:val="28"/>
    </w:rPr>
  </w:style>
  <w:style w:styleId="Style_27" w:type="paragraph">
    <w:name w:val="Subtitle"/>
    <w:basedOn w:val="Style_15"/>
    <w:next w:val="Style_15"/>
    <w:link w:val="Style_27_ch"/>
    <w:uiPriority w:val="11"/>
    <w:qFormat/>
    <w:pPr>
      <w:spacing w:after="60"/>
      <w:ind/>
      <w:jc w:val="center"/>
      <w:outlineLvl w:val="1"/>
    </w:pPr>
    <w:rPr>
      <w:rFonts w:ascii="Cambria" w:hAnsi="Cambria"/>
      <w:sz w:val="24"/>
    </w:rPr>
  </w:style>
  <w:style w:styleId="Style_27_ch" w:type="character">
    <w:name w:val="Subtitle"/>
    <w:basedOn w:val="Style_15_ch"/>
    <w:link w:val="Style_27"/>
    <w:rPr>
      <w:rFonts w:ascii="Cambria" w:hAnsi="Cambria"/>
      <w:sz w:val="24"/>
    </w:rPr>
  </w:style>
  <w:style w:styleId="Style_1" w:type="paragraph">
    <w:name w:val="header"/>
    <w:basedOn w:val="Style_15"/>
    <w:link w:val="Style_1_ch"/>
    <w:pPr>
      <w:tabs>
        <w:tab w:leader="none" w:pos="4677" w:val="center"/>
        <w:tab w:leader="none" w:pos="9355" w:val="right"/>
      </w:tabs>
      <w:ind/>
    </w:pPr>
  </w:style>
  <w:style w:styleId="Style_1_ch" w:type="character">
    <w:name w:val="header"/>
    <w:basedOn w:val="Style_15_ch"/>
    <w:link w:val="Style_1"/>
  </w:style>
  <w:style w:styleId="Style_42" w:type="paragraph">
    <w:name w:val="Title"/>
    <w:next w:val="Style_15"/>
    <w:link w:val="Style_42_ch"/>
    <w:uiPriority w:val="10"/>
    <w:qFormat/>
    <w:pPr>
      <w:spacing w:after="567" w:before="567"/>
      <w:ind/>
      <w:jc w:val="center"/>
    </w:pPr>
    <w:rPr>
      <w:rFonts w:ascii="XO Thames" w:hAnsi="XO Thames"/>
      <w:b w:val="1"/>
      <w:caps w:val="1"/>
      <w:sz w:val="40"/>
    </w:rPr>
  </w:style>
  <w:style w:styleId="Style_42_ch" w:type="character">
    <w:name w:val="Title"/>
    <w:link w:val="Style_42"/>
    <w:rPr>
      <w:rFonts w:ascii="XO Thames" w:hAnsi="XO Thames"/>
      <w:b w:val="1"/>
      <w:caps w:val="1"/>
      <w:sz w:val="40"/>
    </w:rPr>
  </w:style>
  <w:style w:styleId="Style_43" w:type="paragraph">
    <w:name w:val="heading 4"/>
    <w:next w:val="Style_15"/>
    <w:link w:val="Style_43_ch"/>
    <w:uiPriority w:val="9"/>
    <w:qFormat/>
    <w:pPr>
      <w:spacing w:after="120" w:before="120"/>
      <w:ind/>
      <w:jc w:val="both"/>
      <w:outlineLvl w:val="3"/>
    </w:pPr>
    <w:rPr>
      <w:rFonts w:ascii="XO Thames" w:hAnsi="XO Thames"/>
      <w:b w:val="1"/>
      <w:sz w:val="24"/>
    </w:rPr>
  </w:style>
  <w:style w:styleId="Style_43_ch" w:type="character">
    <w:name w:val="heading 4"/>
    <w:link w:val="Style_43"/>
    <w:rPr>
      <w:rFonts w:ascii="XO Thames" w:hAnsi="XO Thames"/>
      <w:b w:val="1"/>
      <w:sz w:val="24"/>
    </w:rPr>
  </w:style>
  <w:style w:styleId="Style_44" w:type="paragraph">
    <w:name w:val="heading 2"/>
    <w:next w:val="Style_15"/>
    <w:link w:val="Style_44_ch"/>
    <w:uiPriority w:val="9"/>
    <w:qFormat/>
    <w:pPr>
      <w:spacing w:after="120" w:before="120"/>
      <w:ind/>
      <w:jc w:val="both"/>
      <w:outlineLvl w:val="1"/>
    </w:pPr>
    <w:rPr>
      <w:rFonts w:ascii="XO Thames" w:hAnsi="XO Thames"/>
      <w:b w:val="1"/>
      <w:sz w:val="28"/>
    </w:rPr>
  </w:style>
  <w:style w:styleId="Style_44_ch" w:type="character">
    <w:name w:val="heading 2"/>
    <w:link w:val="Style_44"/>
    <w:rPr>
      <w:rFonts w:ascii="XO Thames" w:hAnsi="XO Thames"/>
      <w:b w:val="1"/>
      <w:sz w:val="28"/>
    </w:rPr>
  </w:style>
  <w:style w:default="1" w:styleId="Style_13" w:type="table">
    <w:name w:val="Normal Table"/>
    <w:tblPr>
      <w:tblInd w:type="dxa" w:w="0"/>
      <w:tblCellMar>
        <w:top w:type="dxa" w:w="0"/>
        <w:left w:type="dxa" w:w="108"/>
        <w:bottom w:type="dxa" w:w="0"/>
        <w:right w:type="dxa" w:w="108"/>
      </w:tblCellMar>
    </w:tblPr>
  </w:style>
  <w:style w:styleId="Style_45" w:type="table">
    <w:name w:val="Grid Table 1 Light - Accent 4"/>
    <w:basedOn w:val="Style_13"/>
    <w:pPr>
      <w:ind w:firstLine="0" w:left="-567" w:right="-284"/>
    </w:pPr>
    <w:rPr>
      <w:sz w:val="22"/>
    </w:rPr>
    <w:tblPr>
      <w:tblInd w:type="dxa" w:w="0"/>
      <w:tblBorders>
        <w:top w:color="CBC0D9" w:sz="4" w:val="single"/>
        <w:left w:color="CBC0D9" w:sz="4" w:val="single"/>
        <w:bottom w:color="CBC0D9" w:sz="4" w:val="single"/>
        <w:right w:color="CBC0D9" w:sz="4" w:val="single"/>
        <w:insideH w:color="CBC0D9" w:sz="4" w:val="single"/>
        <w:insideV w:color="CBC0D9" w:sz="4" w:val="single"/>
      </w:tblBorders>
      <w:tblCellMar>
        <w:top w:type="dxa" w:w="0"/>
        <w:left w:type="dxa" w:w="108"/>
        <w:bottom w:type="dxa" w:w="0"/>
        <w:right w:type="dxa" w:w="108"/>
      </w:tblCellMar>
    </w:tblPr>
  </w:style>
  <w:style w:styleId="Style_46" w:type="table">
    <w:name w:val="Table Grid"/>
    <w:basedOn w:val="Style_13"/>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2023-10-12T12:34:21Z</dcterms:modified>
</cp:coreProperties>
</file>