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left"/>
        <w:rPr>
          <w:color w:val="0000FF"/>
          <w:sz w:val="26"/>
        </w:rPr>
      </w:pPr>
      <w:r>
        <w:rPr>
          <w:color w:val="0000FF"/>
          <w:sz w:val="26"/>
        </w:rPr>
        <w:t>ВНИМАНИЕ! Настоящий документ изменён.</w:t>
      </w:r>
    </w:p>
    <w:p w14:paraId="02000000">
      <w:pPr>
        <w:ind/>
        <w:jc w:val="left"/>
        <w:rPr>
          <w:color w:val="0000FF"/>
          <w:sz w:val="26"/>
        </w:rPr>
      </w:pPr>
    </w:p>
    <w:p w14:paraId="03000000">
      <w:pPr>
        <w:ind/>
        <w:jc w:val="both"/>
        <w:rPr>
          <w:color w:val="0000FF"/>
          <w:sz w:val="26"/>
        </w:rPr>
      </w:pPr>
      <w:r>
        <w:rPr>
          <w:color w:val="0000FF"/>
          <w:sz w:val="26"/>
        </w:rPr>
        <w:t>См</w:t>
      </w:r>
      <w:r>
        <w:rPr>
          <w:color w:val="0000FF"/>
          <w:sz w:val="26"/>
        </w:rPr>
        <w:t>. решение Собрания депутатов городского поселения «Дедовичи»:</w:t>
      </w:r>
    </w:p>
    <w:p w14:paraId="04000000">
      <w:pPr>
        <w:ind/>
        <w:jc w:val="both"/>
        <w:rPr>
          <w:color w:val="0000FF"/>
          <w:sz w:val="26"/>
        </w:rPr>
      </w:pPr>
      <w:r>
        <w:rPr>
          <w:color w:val="0000FF"/>
          <w:sz w:val="26"/>
        </w:rPr>
        <w:t xml:space="preserve">     от 25.11.2021 </w:t>
      </w:r>
      <w:r>
        <w:rPr>
          <w:color w:val="0000FF"/>
          <w:sz w:val="26"/>
        </w:rPr>
        <w:t>№ 65 «О внесении изменений в решение Собрания депутатов городского поселения «Дедовичи» от 26.11.2019 № 242 «Об установлении земельного налога»»;</w:t>
      </w:r>
    </w:p>
    <w:p w14:paraId="05000000">
      <w:pPr>
        <w:ind/>
        <w:jc w:val="both"/>
        <w:rPr>
          <w:color w:val="0000FF"/>
          <w:sz w:val="26"/>
        </w:rPr>
      </w:pPr>
      <w:r>
        <w:rPr>
          <w:color w:val="0000FF"/>
          <w:sz w:val="26"/>
        </w:rPr>
        <w:t xml:space="preserve">     от 28.06.2024 </w:t>
      </w:r>
      <w:r>
        <w:rPr>
          <w:color w:val="0000FF"/>
          <w:sz w:val="26"/>
        </w:rPr>
        <w:t>№ 221 «О внесении изменений в решение Собрания депутатов городского поселения «Дедовичи» «Об установлении земельного налога»»;</w:t>
      </w:r>
    </w:p>
    <w:p w14:paraId="06000000">
      <w:pPr>
        <w:ind/>
        <w:jc w:val="both"/>
        <w:rPr>
          <w:color w:val="2E3CED"/>
          <w:sz w:val="26"/>
        </w:rPr>
      </w:pPr>
      <w:r>
        <w:rPr>
          <w:color w:val="0000FF"/>
          <w:sz w:val="26"/>
        </w:rPr>
        <w:t xml:space="preserve">  от 08.11.2024 № 232</w:t>
      </w:r>
      <w:r>
        <w:rPr>
          <w:color w:val="2E3CED"/>
          <w:sz w:val="26"/>
        </w:rPr>
        <w:t xml:space="preserve"> «</w:t>
      </w:r>
      <w:r>
        <w:rPr>
          <w:color w:val="2E3CED"/>
          <w:sz w:val="26"/>
        </w:rPr>
        <w:t>О внесении изменений в р</w:t>
      </w:r>
      <w:r>
        <w:rPr>
          <w:color w:val="2E3CED"/>
          <w:sz w:val="26"/>
        </w:rPr>
        <w:t xml:space="preserve">ешение </w:t>
      </w:r>
      <w:r>
        <w:rPr>
          <w:color w:val="2E3CED"/>
          <w:sz w:val="26"/>
        </w:rPr>
        <w:t>Собрания</w:t>
      </w:r>
      <w:r>
        <w:rPr>
          <w:color w:val="2E3CED"/>
          <w:sz w:val="26"/>
        </w:rPr>
        <w:br/>
      </w:r>
      <w:r>
        <w:rPr>
          <w:color w:val="2E3CED"/>
          <w:sz w:val="26"/>
        </w:rPr>
        <w:t xml:space="preserve">депутатов городского </w:t>
      </w:r>
      <w:r>
        <w:rPr>
          <w:color w:val="2E3CED"/>
          <w:sz w:val="26"/>
        </w:rPr>
        <w:t>посел</w:t>
      </w:r>
      <w:r>
        <w:rPr>
          <w:color w:val="2E3CED"/>
          <w:sz w:val="26"/>
        </w:rPr>
        <w:t xml:space="preserve">ения </w:t>
      </w:r>
      <w:r>
        <w:rPr>
          <w:color w:val="2E3CED"/>
          <w:sz w:val="26"/>
        </w:rPr>
        <w:t xml:space="preserve">«Дедовичи» </w:t>
      </w:r>
      <w:r>
        <w:rPr>
          <w:color w:val="2E3CED"/>
          <w:sz w:val="26"/>
        </w:rPr>
        <w:t xml:space="preserve">от 26.11.2019 №242 </w:t>
      </w:r>
      <w:r>
        <w:rPr>
          <w:color w:val="2E3CED"/>
          <w:sz w:val="26"/>
        </w:rPr>
        <w:t>«</w:t>
      </w:r>
      <w:r>
        <w:rPr>
          <w:color w:val="2E3CED"/>
          <w:sz w:val="26"/>
        </w:rPr>
        <w:t>Об установлении земельного</w:t>
      </w:r>
      <w:r>
        <w:rPr>
          <w:color w:val="2E3CED"/>
          <w:sz w:val="26"/>
        </w:rPr>
        <w:t xml:space="preserve"> </w:t>
      </w:r>
      <w:r>
        <w:rPr>
          <w:color w:val="2E3CED"/>
          <w:sz w:val="26"/>
        </w:rPr>
        <w:t>налога</w:t>
      </w:r>
      <w:r>
        <w:rPr>
          <w:color w:val="2E3CED"/>
          <w:sz w:val="26"/>
        </w:rPr>
        <w:t>»</w:t>
      </w:r>
    </w:p>
    <w:p w14:paraId="07000000">
      <w:pPr>
        <w:ind/>
        <w:jc w:val="both"/>
        <w:rPr>
          <w:color w:val="0000FF"/>
          <w:sz w:val="26"/>
        </w:rPr>
      </w:pPr>
    </w:p>
    <w:p w14:paraId="08000000">
      <w:pPr>
        <w:ind/>
        <w:jc w:val="both"/>
        <w:rPr>
          <w:color w:val="0000FF"/>
          <w:sz w:val="26"/>
        </w:rPr>
      </w:pPr>
      <w:r>
        <w:t>=======================================================</w:t>
      </w:r>
    </w:p>
    <w:p w14:paraId="09000000">
      <w:pPr>
        <w:ind/>
        <w:jc w:val="center"/>
        <w:rPr>
          <w:sz w:val="24"/>
        </w:rPr>
      </w:pPr>
      <w:r>
        <w:rPr>
          <w:sz w:val="24"/>
        </w:rPr>
        <w:t>ПСКОВСКАЯ ОБЛАСТЬ</w:t>
      </w:r>
    </w:p>
    <w:p w14:paraId="0A000000">
      <w:pPr>
        <w:ind/>
        <w:jc w:val="center"/>
        <w:rPr>
          <w:sz w:val="24"/>
        </w:rPr>
      </w:pPr>
      <w:r>
        <w:rPr>
          <w:sz w:val="24"/>
        </w:rPr>
        <w:t>МУНИЦИПАЛЬНОЕ ОБРАЗОВАНИЕ «ДЕДОВИЧИ»</w:t>
      </w:r>
    </w:p>
    <w:p w14:paraId="0B000000">
      <w:pPr>
        <w:ind/>
        <w:jc w:val="center"/>
        <w:rPr>
          <w:sz w:val="24"/>
        </w:rPr>
      </w:pPr>
      <w:r>
        <w:rPr>
          <w:sz w:val="24"/>
        </w:rPr>
        <w:t>СОБРАНИЕ ДЕПУТАТОВ ГОРОДСКОГО ПОСЕЛЕНИЯ «ДЕДОВИЧИ»</w:t>
      </w:r>
    </w:p>
    <w:p w14:paraId="0C000000">
      <w:pPr>
        <w:ind/>
        <w:jc w:val="center"/>
        <w:rPr>
          <w:sz w:val="24"/>
        </w:rPr>
      </w:pPr>
    </w:p>
    <w:p w14:paraId="0D000000">
      <w:pPr>
        <w:ind/>
        <w:jc w:val="center"/>
        <w:rPr>
          <w:sz w:val="24"/>
        </w:rPr>
      </w:pPr>
      <w:r>
        <w:rPr>
          <w:sz w:val="24"/>
        </w:rPr>
        <w:t>РЕШЕНИЕ</w:t>
      </w:r>
    </w:p>
    <w:p w14:paraId="0E000000">
      <w:pPr>
        <w:rPr>
          <w:sz w:val="24"/>
        </w:rPr>
      </w:pPr>
    </w:p>
    <w:p w14:paraId="0F000000">
      <w:pPr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26.11.2019</w:t>
      </w:r>
      <w:r>
        <w:rPr>
          <w:sz w:val="24"/>
        </w:rPr>
        <w:t xml:space="preserve"> </w:t>
      </w:r>
      <w:r>
        <w:rPr>
          <w:sz w:val="24"/>
        </w:rPr>
        <w:t xml:space="preserve">№ </w:t>
      </w:r>
      <w:r>
        <w:rPr>
          <w:sz w:val="24"/>
        </w:rPr>
        <w:t>242</w:t>
      </w:r>
    </w:p>
    <w:p w14:paraId="10000000">
      <w:pPr>
        <w:rPr>
          <w:sz w:val="24"/>
        </w:rPr>
      </w:pPr>
      <w:r>
        <w:rPr>
          <w:sz w:val="24"/>
        </w:rPr>
        <w:t xml:space="preserve">(принято на </w:t>
      </w:r>
      <w:r>
        <w:rPr>
          <w:sz w:val="24"/>
        </w:rPr>
        <w:t xml:space="preserve">39 </w:t>
      </w:r>
      <w:r>
        <w:rPr>
          <w:sz w:val="24"/>
        </w:rPr>
        <w:t>очередном заседании</w:t>
      </w:r>
    </w:p>
    <w:p w14:paraId="11000000">
      <w:pPr>
        <w:rPr>
          <w:sz w:val="24"/>
        </w:rPr>
      </w:pPr>
      <w:r>
        <w:rPr>
          <w:sz w:val="24"/>
        </w:rPr>
        <w:t xml:space="preserve">Собрания депутатов городского поселения </w:t>
      </w:r>
    </w:p>
    <w:p w14:paraId="12000000">
      <w:pPr>
        <w:rPr>
          <w:sz w:val="24"/>
        </w:rPr>
      </w:pPr>
      <w:r>
        <w:rPr>
          <w:sz w:val="24"/>
        </w:rPr>
        <w:t xml:space="preserve">«Дедовичи» </w:t>
      </w:r>
      <w:r>
        <w:rPr>
          <w:sz w:val="24"/>
        </w:rPr>
        <w:t xml:space="preserve"> третьего</w:t>
      </w:r>
      <w:r>
        <w:rPr>
          <w:sz w:val="24"/>
        </w:rPr>
        <w:t xml:space="preserve"> созыва)</w:t>
      </w:r>
    </w:p>
    <w:p w14:paraId="13000000">
      <w:pPr>
        <w:rPr>
          <w:sz w:val="24"/>
        </w:rPr>
      </w:pPr>
      <w:r>
        <w:rPr>
          <w:sz w:val="24"/>
        </w:rPr>
        <w:t>рп. Дедовичи</w:t>
      </w:r>
    </w:p>
    <w:p w14:paraId="14000000">
      <w:pPr>
        <w:ind w:right="282"/>
        <w:jc w:val="both"/>
        <w:rPr>
          <w:sz w:val="24"/>
        </w:rPr>
      </w:pPr>
    </w:p>
    <w:p w14:paraId="15000000">
      <w:pPr>
        <w:ind w:right="282"/>
        <w:jc w:val="both"/>
        <w:rPr>
          <w:sz w:val="24"/>
        </w:rPr>
      </w:pPr>
    </w:p>
    <w:p w14:paraId="16000000">
      <w:pPr>
        <w:ind w:right="282"/>
        <w:rPr>
          <w:sz w:val="24"/>
        </w:rPr>
      </w:pPr>
      <w:r>
        <w:rPr>
          <w:sz w:val="24"/>
        </w:rPr>
        <w:t>Об установлении земельного налога</w:t>
      </w:r>
    </w:p>
    <w:p w14:paraId="17000000">
      <w:pPr>
        <w:tabs>
          <w:tab w:leader="none" w:pos="851" w:val="left"/>
        </w:tabs>
        <w:ind w:firstLine="567" w:left="0"/>
        <w:jc w:val="both"/>
        <w:rPr>
          <w:sz w:val="24"/>
        </w:rPr>
      </w:pPr>
    </w:p>
    <w:p w14:paraId="18000000">
      <w:pPr>
        <w:tabs>
          <w:tab w:leader="none" w:pos="851" w:val="left"/>
        </w:tabs>
        <w:ind w:firstLine="567" w:left="0"/>
        <w:jc w:val="both"/>
        <w:rPr>
          <w:sz w:val="24"/>
        </w:rPr>
      </w:pPr>
    </w:p>
    <w:p w14:paraId="19000000">
      <w:pPr>
        <w:ind w:firstLine="567" w:left="0"/>
        <w:jc w:val="both"/>
        <w:rPr>
          <w:sz w:val="24"/>
        </w:rPr>
      </w:pPr>
      <w:r>
        <w:rPr>
          <w:sz w:val="24"/>
        </w:rPr>
        <w:t>В соответствии с главой 31 Налогового кодекса Российской Федерации Собрание депутатов городского поселения «Дедовичи» РЕШИЛО:</w:t>
      </w:r>
    </w:p>
    <w:p w14:paraId="1A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1. Установить на территории городского поселения «Дедовичи» земельный налог, </w:t>
      </w:r>
      <w:r>
        <w:rPr>
          <w:sz w:val="24"/>
        </w:rPr>
        <w:t>налоговые ставки,</w:t>
      </w:r>
      <w:r>
        <w:rPr>
          <w:sz w:val="24"/>
        </w:rPr>
        <w:t xml:space="preserve"> </w:t>
      </w:r>
      <w:r>
        <w:rPr>
          <w:sz w:val="24"/>
        </w:rPr>
        <w:t xml:space="preserve">порядок уплаты налога и налоговые льготы за земли, находящиеся в пределах границ </w:t>
      </w:r>
      <w:r>
        <w:rPr>
          <w:sz w:val="24"/>
        </w:rPr>
        <w:t>муниципального образования</w:t>
      </w:r>
      <w:r>
        <w:rPr>
          <w:sz w:val="24"/>
        </w:rPr>
        <w:t xml:space="preserve"> «Дедовичи».</w:t>
      </w:r>
    </w:p>
    <w:p w14:paraId="1B000000">
      <w:pPr>
        <w:ind w:firstLine="567" w:left="0"/>
        <w:jc w:val="both"/>
        <w:rPr>
          <w:sz w:val="24"/>
        </w:rPr>
      </w:pPr>
      <w:r>
        <w:rPr>
          <w:sz w:val="24"/>
        </w:rPr>
        <w:t>2. Установить налоговые ставки в следующих размерах:</w:t>
      </w:r>
    </w:p>
    <w:p w14:paraId="1C000000">
      <w:pPr>
        <w:ind w:firstLine="567" w:left="0"/>
        <w:jc w:val="both"/>
        <w:rPr>
          <w:sz w:val="24"/>
        </w:rPr>
      </w:pPr>
      <w:r>
        <w:rPr>
          <w:sz w:val="24"/>
        </w:rPr>
        <w:t>2.1. 0,</w:t>
      </w:r>
      <w:r>
        <w:rPr>
          <w:sz w:val="24"/>
        </w:rPr>
        <w:t>2</w:t>
      </w:r>
      <w:r>
        <w:rPr>
          <w:sz w:val="24"/>
        </w:rPr>
        <w:t xml:space="preserve"> процента в отношении земельных участков:</w:t>
      </w:r>
    </w:p>
    <w:p w14:paraId="1D000000">
      <w:pPr>
        <w:ind w:firstLine="567" w:left="0"/>
        <w:jc w:val="both"/>
        <w:rPr>
          <w:sz w:val="24"/>
        </w:rPr>
      </w:pPr>
      <w:r>
        <w:rPr>
          <w:sz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1E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занятых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"consultantplus://offline/ref=7BF6A3EA01F8C07F78701EB237F1570E0F3B3F5A3DC2C1D6BC943D25D695D1DC864CBDF7F2CA56FF999A416ABCB04BE6463867D8E3235188sFTFL"</w:instrText>
      </w:r>
      <w:r>
        <w:rPr>
          <w:sz w:val="24"/>
        </w:rPr>
        <w:fldChar w:fldCharType="separate"/>
      </w:r>
      <w:r>
        <w:rPr>
          <w:sz w:val="24"/>
        </w:rPr>
        <w:t>жилищным фондом</w:t>
      </w:r>
      <w:r>
        <w:rPr>
          <w:sz w:val="24"/>
        </w:rPr>
        <w:fldChar w:fldCharType="end"/>
      </w:r>
      <w:r>
        <w:rPr>
          <w:sz w:val="24"/>
        </w:rPr>
        <w:t xml:space="preserve"> и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"consultantplus://offline/ref=7BF6A3EA01F8C07F78701EB237F1570E0E30395238C6C1D6BC943D25D695D1DC864CBDF7F2CA57FF919A416ABCB04BE6463867D8E3235188sFTFL"</w:instrText>
      </w:r>
      <w:r>
        <w:rPr>
          <w:sz w:val="24"/>
        </w:rPr>
        <w:fldChar w:fldCharType="separate"/>
      </w:r>
      <w:r>
        <w:rPr>
          <w:sz w:val="24"/>
        </w:rPr>
        <w:t>объектами инженерной инфраструктуры</w:t>
      </w:r>
      <w:r>
        <w:rPr>
          <w:sz w:val="24"/>
        </w:rPr>
        <w:fldChar w:fldCharType="end"/>
      </w:r>
      <w:r>
        <w:rPr>
          <w:sz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1F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не используемых в предпринимательской деятельности, приобретенных (предоставленных) для ведения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"consultantplus://offline/ref=776FD4F4C614E284A562706F92C7D0686926CCB6574EE2067C31383DF9B1CDFE48E35AEEC2B3E71237E450EE5109DD54E832F1FCD77E84E6U3UBL"</w:instrText>
      </w:r>
      <w:r>
        <w:rPr>
          <w:sz w:val="24"/>
        </w:rPr>
        <w:fldChar w:fldCharType="separate"/>
      </w:r>
      <w:r>
        <w:rPr>
          <w:sz w:val="24"/>
        </w:rPr>
        <w:t>личного подсобного хозяйства</w:t>
      </w:r>
      <w:r>
        <w:rPr>
          <w:sz w:val="24"/>
        </w:rPr>
        <w:fldChar w:fldCharType="end"/>
      </w:r>
      <w:r>
        <w:rPr>
          <w:sz w:val="24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"consultantplus://offline/ref=776FD4F4C614E284A562706F92C7D0686926CCB65046E2067C31383DF9B1CDFE5AE302E2C3B5F91135F106BF14U5U5L"</w:instrText>
      </w:r>
      <w:r>
        <w:rPr>
          <w:sz w:val="24"/>
        </w:rPr>
        <w:fldChar w:fldCharType="separate"/>
      </w:r>
      <w:r>
        <w:rPr>
          <w:sz w:val="24"/>
        </w:rPr>
        <w:t>законом</w:t>
      </w:r>
      <w:r>
        <w:rPr>
          <w:sz w:val="24"/>
        </w:rPr>
        <w:fldChar w:fldCharType="end"/>
      </w:r>
      <w:r>
        <w:rPr>
          <w:sz w:val="24"/>
        </w:rPr>
        <w:t xml:space="preserve">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14:paraId="20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ограниченных в обороте в соответствии с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"consultantplus://offline/ref=CABB3B23BBDDEEB0B8701DA6C1FF8CBA97ED378FA6DE324A19F31FD26724BA119AF55E3E9700F1C1359D8B1BF872C59551DAB93A2BDC6D6Bw7P7L"</w:instrText>
      </w:r>
      <w:r>
        <w:rPr>
          <w:sz w:val="24"/>
        </w:rPr>
        <w:fldChar w:fldCharType="separate"/>
      </w:r>
      <w:r>
        <w:rPr>
          <w:sz w:val="24"/>
        </w:rPr>
        <w:t>законодательством</w:t>
      </w:r>
      <w:r>
        <w:rPr>
          <w:sz w:val="24"/>
        </w:rPr>
        <w:fldChar w:fldCharType="end"/>
      </w:r>
      <w:r>
        <w:rPr>
          <w:sz w:val="24"/>
        </w:rPr>
        <w:t xml:space="preserve"> Российской Федерации, предоставленных для обеспечения обороны,</w:t>
      </w:r>
      <w:r>
        <w:rPr>
          <w:sz w:val="24"/>
        </w:rPr>
        <w:t xml:space="preserve"> безопасности и таможенных нужд.</w:t>
      </w:r>
    </w:p>
    <w:p w14:paraId="21000000">
      <w:pPr>
        <w:ind w:firstLine="567" w:left="0"/>
        <w:jc w:val="both"/>
        <w:rPr>
          <w:sz w:val="24"/>
        </w:rPr>
      </w:pPr>
      <w:r>
        <w:rPr>
          <w:sz w:val="24"/>
        </w:rPr>
        <w:t>2.2. 1,5 процента в отношении прочих земельных участков.</w:t>
      </w:r>
    </w:p>
    <w:p w14:paraId="22000000">
      <w:pPr>
        <w:ind w:firstLine="567" w:left="0"/>
        <w:jc w:val="both"/>
        <w:rPr>
          <w:sz w:val="24"/>
        </w:rPr>
      </w:pPr>
      <w:r>
        <w:rPr>
          <w:sz w:val="24"/>
        </w:rPr>
        <w:t>3. Установить порядок уплаты налога:</w:t>
      </w:r>
    </w:p>
    <w:p w14:paraId="23000000">
      <w:pPr>
        <w:ind w:firstLine="567" w:left="0"/>
        <w:jc w:val="both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"consultantplus://offline/ref=BFF3A84331D6E52DD6A3B6BDA9B68C26307DA9EE4ABB1CC16720E3E8E086D1BA4081481E14A1C008016921533C72F35191ABCFFFF90909B3zDQ4O"</w:instrText>
      </w:r>
      <w:r>
        <w:rPr>
          <w:sz w:val="24"/>
        </w:rPr>
        <w:fldChar w:fldCharType="separate"/>
      </w:r>
      <w:r>
        <w:rPr>
          <w:sz w:val="24"/>
        </w:rPr>
        <w:t>Сумма налога</w:t>
      </w:r>
      <w:r>
        <w:rPr>
          <w:sz w:val="24"/>
        </w:rPr>
        <w:fldChar w:fldCharType="end"/>
      </w:r>
      <w:r>
        <w:rPr>
          <w:sz w:val="24"/>
        </w:rPr>
        <w:t>, подлежащая уплате в бюджет налогоплательщиками – физическими лицами, исчисляется налоговыми органами.</w:t>
      </w:r>
    </w:p>
    <w:p w14:paraId="24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В течение налогового периода налогоплательщики-организации уплачивают авансовые платежи по налогу. По истечении налогового периода налогоплательщики-организации уплачивают сумму налога, исчисленную в порядке, предусмотренном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"consultantplus://offline/ref=387EF3FDB40D8E34D483C64C6F7D80666F838D452581405BBEE492DD471A7D01C207B9036F7D495BBB1EB5ED62340A780F46DACF20C628N1G"</w:instrText>
      </w:r>
      <w:r>
        <w:rPr>
          <w:sz w:val="24"/>
        </w:rPr>
        <w:fldChar w:fldCharType="separate"/>
      </w:r>
      <w:r>
        <w:rPr>
          <w:sz w:val="24"/>
        </w:rPr>
        <w:t>пунктом 5 статьи 396</w:t>
      </w:r>
      <w:r>
        <w:rPr>
          <w:sz w:val="24"/>
        </w:rPr>
        <w:fldChar w:fldCharType="end"/>
      </w:r>
      <w:r>
        <w:rPr>
          <w:sz w:val="24"/>
        </w:rPr>
        <w:t xml:space="preserve"> Налогового Кодекса Российской Федерации.</w:t>
      </w:r>
    </w:p>
    <w:p w14:paraId="25000000">
      <w:pPr>
        <w:ind w:firstLine="567" w:left="0"/>
        <w:jc w:val="both"/>
        <w:rPr>
          <w:sz w:val="24"/>
        </w:rPr>
      </w:pPr>
      <w:r>
        <w:rPr>
          <w:sz w:val="24"/>
        </w:rPr>
        <w:t>Налог и авансовые платежи по налогу подлежат уплате в сроки, установленные пунктом 1 статьи 397 Налогового Кодекса Российской Федерации.</w:t>
      </w:r>
    </w:p>
    <w:p w14:paraId="26000000">
      <w:pPr>
        <w:ind w:firstLine="567" w:left="0"/>
        <w:jc w:val="both"/>
        <w:rPr>
          <w:sz w:val="24"/>
        </w:rPr>
      </w:pPr>
      <w:r>
        <w:rPr>
          <w:sz w:val="24"/>
        </w:rPr>
        <w:t>Авансовые платежи за отчетные периоды 2020 года по налогу подлежат уплате налогоплательщиками-организациями не позднее последнего числа месяца, следующего за истекшим отчетным периодом.</w:t>
      </w:r>
    </w:p>
    <w:p w14:paraId="27000000">
      <w:pPr>
        <w:ind w:firstLine="567" w:left="0"/>
        <w:jc w:val="both"/>
        <w:rPr>
          <w:sz w:val="24"/>
        </w:rPr>
      </w:pPr>
      <w:r>
        <w:rPr>
          <w:sz w:val="24"/>
        </w:rPr>
        <w:t>4. Освобождаются от налогообложения:</w:t>
      </w:r>
    </w:p>
    <w:p w14:paraId="28000000">
      <w:pPr>
        <w:ind w:firstLine="567" w:left="0"/>
        <w:jc w:val="both"/>
        <w:rPr>
          <w:sz w:val="24"/>
        </w:rPr>
      </w:pPr>
      <w:r>
        <w:rPr>
          <w:sz w:val="24"/>
        </w:rPr>
        <w:t>органы местного самоуправления</w:t>
      </w:r>
      <w:r>
        <w:rPr>
          <w:sz w:val="24"/>
        </w:rPr>
        <w:t xml:space="preserve">; </w:t>
      </w:r>
    </w:p>
    <w:p w14:paraId="29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ветераны и инвал</w:t>
      </w:r>
      <w:r>
        <w:rPr>
          <w:rFonts w:ascii="Times New Roman" w:hAnsi="Times New Roman"/>
          <w:sz w:val="24"/>
        </w:rPr>
        <w:t>иды Великой Отечественной Войны.</w:t>
      </w:r>
    </w:p>
    <w:p w14:paraId="2A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Настоящее решение вступает в силу с 1 января 2020 года, но не ранее одного месяца со дня его официального опубликования (обнародования) и распространяется на правоотношения, возникшие с налогового периода 2020 года.</w:t>
      </w:r>
    </w:p>
    <w:p w14:paraId="2B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6. Опубликовать настоящее решение в </w:t>
      </w:r>
      <w:r>
        <w:rPr>
          <w:sz w:val="24"/>
        </w:rPr>
        <w:t xml:space="preserve">районной </w:t>
      </w:r>
      <w:r>
        <w:rPr>
          <w:sz w:val="24"/>
        </w:rPr>
        <w:t>газете «</w:t>
      </w:r>
      <w:r>
        <w:rPr>
          <w:sz w:val="24"/>
        </w:rPr>
        <w:t>Коммуна</w:t>
      </w:r>
      <w:r>
        <w:rPr>
          <w:sz w:val="24"/>
        </w:rPr>
        <w:t>».</w:t>
      </w:r>
    </w:p>
    <w:p w14:paraId="2C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7. Признать утратившими силу </w:t>
      </w:r>
      <w:r>
        <w:rPr>
          <w:sz w:val="24"/>
        </w:rPr>
        <w:t>следующие решения</w:t>
      </w:r>
      <w:r>
        <w:rPr>
          <w:sz w:val="24"/>
        </w:rPr>
        <w:t xml:space="preserve"> Собрания депутатов городского поселения «Дедовичи»</w:t>
      </w:r>
      <w:r>
        <w:rPr>
          <w:sz w:val="24"/>
        </w:rPr>
        <w:t>:</w:t>
      </w:r>
    </w:p>
    <w:p w14:paraId="2D000000">
      <w:pPr>
        <w:ind w:firstLine="567" w:left="0"/>
        <w:jc w:val="both"/>
        <w:rPr>
          <w:sz w:val="24"/>
        </w:rPr>
      </w:pPr>
      <w:r>
        <w:rPr>
          <w:sz w:val="24"/>
        </w:rPr>
        <w:t>от 12.11.2009 № 125 «Об установлении земельного налога», за исключением пунктов № 5, № 8 и № 10, подлежащих применению при исчислении земельного налога за налоговый период 2019 года;</w:t>
      </w:r>
    </w:p>
    <w:p w14:paraId="2E000000">
      <w:pPr>
        <w:ind w:firstLine="567" w:left="0"/>
        <w:jc w:val="both"/>
        <w:rPr>
          <w:sz w:val="24"/>
        </w:rPr>
      </w:pPr>
      <w:r>
        <w:rPr>
          <w:sz w:val="24"/>
        </w:rPr>
        <w:t>от 22.11.2010 № 30 «О внесении изменения в решение Собрания депутатов городского поселения «Дедовичи» от 12.11.2009 № 125 «Об установлении земельного налога»;</w:t>
      </w:r>
    </w:p>
    <w:p w14:paraId="2F000000">
      <w:pPr>
        <w:ind w:firstLine="567" w:left="0"/>
        <w:jc w:val="both"/>
        <w:rPr>
          <w:sz w:val="24"/>
        </w:rPr>
      </w:pPr>
      <w:r>
        <w:rPr>
          <w:sz w:val="24"/>
        </w:rPr>
        <w:t>от 29.04.2011 № 51 «О внесении изменений в решение Собрания депутатов городского поселения «Дедовичи» от 12.11.2009 № 125 «Об установлении земельного налога»;</w:t>
      </w:r>
    </w:p>
    <w:p w14:paraId="30000000">
      <w:pPr>
        <w:ind w:firstLine="567" w:left="0"/>
        <w:jc w:val="both"/>
        <w:rPr>
          <w:sz w:val="24"/>
        </w:rPr>
      </w:pPr>
      <w:r>
        <w:rPr>
          <w:sz w:val="24"/>
        </w:rPr>
        <w:t>от 31.10.2012 № 104 «О внесении изменений в решение Собрания депутатов городского поселения «Дедовичи» от 12.11.2009 № 125 «Об установлении земельного налога»;</w:t>
      </w:r>
    </w:p>
    <w:p w14:paraId="31000000">
      <w:pPr>
        <w:ind w:firstLine="567" w:left="0"/>
        <w:jc w:val="both"/>
        <w:rPr>
          <w:sz w:val="24"/>
        </w:rPr>
      </w:pPr>
      <w:r>
        <w:rPr>
          <w:sz w:val="24"/>
        </w:rPr>
        <w:t>от 18.11.2013 № 146 «О внесении изменения в решение Собрания депутатов городского поселения «Дедовичи» от 12.11.2009 № 125 «Об установлении земельного налога»;</w:t>
      </w:r>
    </w:p>
    <w:p w14:paraId="32000000">
      <w:pPr>
        <w:ind w:firstLine="567" w:left="0"/>
        <w:jc w:val="both"/>
        <w:rPr>
          <w:sz w:val="24"/>
        </w:rPr>
      </w:pPr>
      <w:r>
        <w:rPr>
          <w:sz w:val="24"/>
        </w:rPr>
        <w:t>от 30.03.2015 № 193 «О внесении изменений в решение Собрания депутатов городского поселения «Дедовичи» от 12.11.2009 № 125 «Об установлении земельного налога»;</w:t>
      </w:r>
    </w:p>
    <w:p w14:paraId="33000000">
      <w:pPr>
        <w:ind w:firstLine="567" w:left="0"/>
        <w:jc w:val="both"/>
        <w:rPr>
          <w:sz w:val="24"/>
        </w:rPr>
      </w:pPr>
      <w:r>
        <w:rPr>
          <w:sz w:val="24"/>
        </w:rPr>
        <w:t>от 29.12.2016 № 78 «О внесении изменения в решение Собрания депутатов городского поселения «Дедовичи» от 12.11.2009 № 125 «Об установлении земельного налога»;</w:t>
      </w:r>
    </w:p>
    <w:p w14:paraId="34000000">
      <w:pPr>
        <w:ind w:firstLine="567" w:left="0"/>
        <w:jc w:val="both"/>
        <w:rPr>
          <w:sz w:val="24"/>
        </w:rPr>
      </w:pPr>
      <w:r>
        <w:rPr>
          <w:sz w:val="24"/>
        </w:rPr>
        <w:t>от 23.05.2017 № 106 «О внесении изменения в решение Собрания депутатов городского поселения «Дедовичи» от 12.11.2009 № 125 «Об установлении земельного налога».</w:t>
      </w:r>
    </w:p>
    <w:p w14:paraId="35000000">
      <w:pPr>
        <w:widowControl w:val="0"/>
        <w:tabs>
          <w:tab w:leader="none" w:pos="993" w:val="left"/>
        </w:tabs>
        <w:ind/>
        <w:jc w:val="both"/>
        <w:rPr>
          <w:sz w:val="24"/>
        </w:rPr>
      </w:pPr>
    </w:p>
    <w:p w14:paraId="36000000">
      <w:pPr>
        <w:widowControl w:val="0"/>
        <w:ind/>
        <w:jc w:val="both"/>
        <w:rPr>
          <w:sz w:val="24"/>
        </w:rPr>
      </w:pPr>
    </w:p>
    <w:p w14:paraId="37000000">
      <w:pPr>
        <w:widowControl w:val="0"/>
        <w:ind/>
        <w:jc w:val="both"/>
        <w:rPr>
          <w:sz w:val="24"/>
        </w:rPr>
      </w:pPr>
      <w:r>
        <w:rPr>
          <w:sz w:val="24"/>
        </w:rPr>
        <w:t>Глава городского поселения «Дедовичи»</w:t>
      </w:r>
      <w:r>
        <w:rPr>
          <w:sz w:val="24"/>
        </w:rPr>
        <w:t xml:space="preserve">                         </w:t>
      </w:r>
      <w:r>
        <w:rPr>
          <w:sz w:val="24"/>
        </w:rPr>
        <w:t xml:space="preserve">  </w:t>
      </w:r>
      <w:r>
        <w:rPr>
          <w:sz w:val="24"/>
        </w:rPr>
        <w:t xml:space="preserve">           </w:t>
      </w:r>
      <w:r>
        <w:rPr>
          <w:sz w:val="24"/>
        </w:rPr>
        <w:t xml:space="preserve"> Н.В. Чихачев</w:t>
      </w:r>
    </w:p>
    <w:sectPr>
      <w:pgSz w:h="16838" w:orient="portrait" w:w="11906"/>
      <w:pgMar w:bottom="851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2_ch"/>
    <w:link w:val="Style_3"/>
  </w:style>
  <w:style w:styleId="Style_4" w:type="paragraph">
    <w:name w:val="header"/>
    <w:basedOn w:val="Style_2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header"/>
    <w:basedOn w:val="Style_2_ch"/>
    <w:link w:val="Style_4"/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Standard"/>
    <w:link w:val="Style_6_ch"/>
    <w:rPr>
      <w:sz w:val="24"/>
    </w:rPr>
  </w:style>
  <w:style w:styleId="Style_6_ch" w:type="character">
    <w:name w:val="Standard"/>
    <w:link w:val="Style_6"/>
    <w:rPr>
      <w:sz w:val="24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Normal (Web)"/>
    <w:basedOn w:val="Style_2"/>
    <w:link w:val="Style_10_ch"/>
    <w:pPr>
      <w:spacing w:afterAutospacing="on" w:beforeAutospacing="on"/>
      <w:ind/>
    </w:pPr>
    <w:rPr>
      <w:sz w:val="24"/>
    </w:rPr>
  </w:style>
  <w:style w:styleId="Style_10_ch" w:type="character">
    <w:name w:val="Normal (Web)"/>
    <w:basedOn w:val="Style_2_ch"/>
    <w:link w:val="Style_10"/>
    <w:rPr>
      <w:sz w:val="24"/>
    </w:rPr>
  </w:style>
  <w:style w:styleId="Style_11" w:type="paragraph">
    <w:name w:val="."/>
    <w:link w:val="Style_11_ch"/>
    <w:pPr>
      <w:widowControl w:val="0"/>
      <w:ind/>
    </w:pPr>
    <w:rPr>
      <w:rFonts w:ascii="Arial" w:hAnsi="Arial"/>
      <w:sz w:val="24"/>
    </w:rPr>
  </w:style>
  <w:style w:styleId="Style_11_ch" w:type="character">
    <w:name w:val="."/>
    <w:link w:val="Style_11"/>
    <w:rPr>
      <w:rFonts w:ascii="Arial" w:hAnsi="Arial"/>
      <w:sz w:val="24"/>
    </w:rPr>
  </w:style>
  <w:style w:styleId="Style_12" w:type="paragraph">
    <w:name w:val=".FORMATTEXT"/>
    <w:link w:val="Style_12_ch"/>
    <w:pPr>
      <w:widowControl w:val="0"/>
      <w:ind/>
    </w:pPr>
    <w:rPr>
      <w:rFonts w:ascii="Arial" w:hAnsi="Arial"/>
    </w:rPr>
  </w:style>
  <w:style w:styleId="Style_12_ch" w:type="character">
    <w:name w:val=".FORMATTEXT"/>
    <w:link w:val="Style_12"/>
    <w:rPr>
      <w:rFonts w:ascii="Arial" w:hAnsi="Arial"/>
    </w:rPr>
  </w:style>
  <w:style w:styleId="Style_13" w:type="paragraph">
    <w:name w:val="heading 3"/>
    <w:basedOn w:val="Style_2"/>
    <w:link w:val="Style_13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3_ch" w:type="character">
    <w:name w:val="heading 3"/>
    <w:basedOn w:val="Style_2_ch"/>
    <w:link w:val="Style_13"/>
    <w:rPr>
      <w:b w:val="1"/>
      <w:sz w:val="27"/>
    </w:rPr>
  </w:style>
  <w:style w:styleId="Style_14" w:type="paragraph">
    <w:name w:val="HTML"/>
    <w:link w:val="Style_14_ch"/>
    <w:pPr>
      <w:widowControl w:val="0"/>
      <w:ind/>
    </w:pPr>
    <w:rPr>
      <w:rFonts w:ascii="Arial" w:hAnsi="Arial"/>
      <w:sz w:val="24"/>
    </w:rPr>
  </w:style>
  <w:style w:styleId="Style_14_ch" w:type="character">
    <w:name w:val="HTML"/>
    <w:link w:val="Style_14"/>
    <w:rPr>
      <w:rFonts w:ascii="Arial" w:hAnsi="Arial"/>
      <w:sz w:val="24"/>
    </w:rPr>
  </w:style>
  <w:style w:styleId="Style_15" w:type="paragraph">
    <w:name w:val="Body Text Indent"/>
    <w:basedOn w:val="Style_2"/>
    <w:link w:val="Style_15_ch"/>
    <w:pPr>
      <w:spacing w:after="120"/>
      <w:ind w:firstLine="0" w:left="283"/>
    </w:pPr>
    <w:rPr>
      <w:sz w:val="24"/>
    </w:rPr>
  </w:style>
  <w:style w:styleId="Style_15_ch" w:type="character">
    <w:name w:val="Body Text Indent"/>
    <w:basedOn w:val="Style_2_ch"/>
    <w:link w:val="Style_15"/>
    <w:rPr>
      <w:sz w:val="24"/>
    </w:rPr>
  </w:style>
  <w:style w:styleId="Style_16" w:type="paragraph">
    <w:name w:val="ConsPlusTitle"/>
    <w:link w:val="Style_16_ch"/>
    <w:pPr>
      <w:widowControl w:val="0"/>
      <w:ind/>
    </w:pPr>
    <w:rPr>
      <w:b w:val="1"/>
      <w:sz w:val="24"/>
    </w:rPr>
  </w:style>
  <w:style w:styleId="Style_16_ch" w:type="character">
    <w:name w:val="ConsPlusTitle"/>
    <w:link w:val="Style_16"/>
    <w:rPr>
      <w:b w:val="1"/>
      <w:sz w:val="24"/>
    </w:rPr>
  </w:style>
  <w:style w:styleId="Style_17" w:type="paragraph">
    <w:name w:val="toc 3"/>
    <w:next w:val="Style_2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ing 5"/>
    <w:basedOn w:val="Style_2"/>
    <w:next w:val="Style_2"/>
    <w:link w:val="Style_19_ch"/>
    <w:uiPriority w:val="9"/>
    <w:qFormat/>
    <w:pPr>
      <w:spacing w:after="60" w:before="240" w:line="276" w:lineRule="auto"/>
      <w:ind/>
      <w:outlineLvl w:val="4"/>
    </w:pPr>
    <w:rPr>
      <w:rFonts w:ascii="Calibri" w:hAnsi="Calibri"/>
      <w:b w:val="1"/>
      <w:i w:val="1"/>
      <w:sz w:val="26"/>
    </w:rPr>
  </w:style>
  <w:style w:styleId="Style_19_ch" w:type="character">
    <w:name w:val="heading 5"/>
    <w:basedOn w:val="Style_2_ch"/>
    <w:link w:val="Style_19"/>
    <w:rPr>
      <w:rFonts w:ascii="Calibri" w:hAnsi="Calibri"/>
      <w:b w:val="1"/>
      <w:i w:val="1"/>
      <w:sz w:val="26"/>
    </w:rPr>
  </w:style>
  <w:style w:styleId="Style_20" w:type="paragraph">
    <w:name w:val="headertext"/>
    <w:basedOn w:val="Style_2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headertext"/>
    <w:basedOn w:val="Style_2_ch"/>
    <w:link w:val="Style_20"/>
    <w:rPr>
      <w:sz w:val="24"/>
    </w:rPr>
  </w:style>
  <w:style w:styleId="Style_21" w:type="paragraph">
    <w:name w:val="Balloon Text"/>
    <w:basedOn w:val="Style_2"/>
    <w:link w:val="Style_21_ch"/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1" w:type="paragraph">
    <w:name w:val="Body Text Indent 3"/>
    <w:basedOn w:val="Style_2"/>
    <w:link w:val="Style_1_ch"/>
    <w:pPr>
      <w:spacing w:after="120" w:line="276" w:lineRule="auto"/>
      <w:ind w:firstLine="0" w:left="283"/>
    </w:pPr>
    <w:rPr>
      <w:rFonts w:ascii="Calibri" w:hAnsi="Calibri"/>
      <w:sz w:val="16"/>
    </w:rPr>
  </w:style>
  <w:style w:styleId="Style_1_ch" w:type="character">
    <w:name w:val="Body Text Indent 3"/>
    <w:basedOn w:val="Style_2_ch"/>
    <w:link w:val="Style_1"/>
    <w:rPr>
      <w:rFonts w:ascii="Calibri" w:hAnsi="Calibri"/>
      <w:sz w:val="16"/>
    </w:rPr>
  </w:style>
  <w:style w:styleId="Style_22" w:type="paragraph">
    <w:name w:val="formattext"/>
    <w:basedOn w:val="Style_2"/>
    <w:link w:val="Style_22_ch"/>
    <w:pPr>
      <w:spacing w:afterAutospacing="on" w:beforeAutospacing="on"/>
      <w:ind/>
    </w:pPr>
    <w:rPr>
      <w:sz w:val="24"/>
    </w:rPr>
  </w:style>
  <w:style w:styleId="Style_22_ch" w:type="character">
    <w:name w:val="formattext"/>
    <w:basedOn w:val="Style_2_ch"/>
    <w:link w:val="Style_22"/>
    <w:rPr>
      <w:sz w:val="24"/>
    </w:rPr>
  </w:style>
  <w:style w:styleId="Style_23" w:type="paragraph">
    <w:name w:val="heading 1"/>
    <w:basedOn w:val="Style_2"/>
    <w:link w:val="Style_23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23_ch" w:type="character">
    <w:name w:val="heading 1"/>
    <w:basedOn w:val="Style_2_ch"/>
    <w:link w:val="Style_23"/>
    <w:rPr>
      <w:b w:val="1"/>
      <w:sz w:val="48"/>
    </w:rPr>
  </w:style>
  <w:style w:styleId="Style_24" w:type="paragraph">
    <w:name w:val="ОСНОВНОЙ !!!"/>
    <w:basedOn w:val="Style_25"/>
    <w:link w:val="Style_24_ch"/>
    <w:pPr>
      <w:spacing w:after="0" w:before="120"/>
      <w:ind w:firstLine="900" w:left="0"/>
      <w:jc w:val="both"/>
    </w:pPr>
    <w:rPr>
      <w:rFonts w:ascii="Arial" w:hAnsi="Arial"/>
      <w:color w:val="000000"/>
      <w:sz w:val="24"/>
    </w:rPr>
  </w:style>
  <w:style w:styleId="Style_24_ch" w:type="character">
    <w:name w:val="ОСНОВНОЙ !!!"/>
    <w:basedOn w:val="Style_25_ch"/>
    <w:link w:val="Style_24"/>
    <w:rPr>
      <w:rFonts w:ascii="Arial" w:hAnsi="Arial"/>
      <w:color w:val="000000"/>
      <w:sz w:val="24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2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2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2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2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TABLE"/>
    <w:link w:val="Style_33_ch"/>
    <w:pPr>
      <w:widowControl w:val="0"/>
      <w:ind/>
    </w:pPr>
    <w:rPr>
      <w:rFonts w:ascii="Arial" w:hAnsi="Arial"/>
      <w:sz w:val="24"/>
    </w:rPr>
  </w:style>
  <w:style w:styleId="Style_33_ch" w:type="character">
    <w:name w:val="TABLE"/>
    <w:link w:val="Style_33"/>
    <w:rPr>
      <w:rFonts w:ascii="Arial" w:hAnsi="Arial"/>
      <w:sz w:val="24"/>
    </w:rPr>
  </w:style>
  <w:style w:styleId="Style_34" w:type="paragraph">
    <w:name w:val="List Paragraph"/>
    <w:basedOn w:val="Style_2"/>
    <w:link w:val="Style_3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4_ch" w:type="character">
    <w:name w:val="List Paragraph"/>
    <w:basedOn w:val="Style_2_ch"/>
    <w:link w:val="Style_34"/>
    <w:rPr>
      <w:rFonts w:ascii="Calibri" w:hAnsi="Calibri"/>
      <w:sz w:val="22"/>
    </w:rPr>
  </w:style>
  <w:style w:styleId="Style_35" w:type="paragraph">
    <w:name w:val="Subtitle"/>
    <w:next w:val="Style_2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2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</w:rPr>
  </w:style>
  <w:style w:styleId="Style_37_ch" w:type="character">
    <w:name w:val="heading 4"/>
    <w:basedOn w:val="Style_2_ch"/>
    <w:link w:val="Style_37"/>
    <w:rPr>
      <w:rFonts w:ascii="Calibri" w:hAnsi="Calibri"/>
      <w:b w:val="1"/>
    </w:rPr>
  </w:style>
  <w:style w:styleId="Style_38" w:type="paragraph">
    <w:name w:val=".HEADERTEXT"/>
    <w:link w:val="Style_38_ch"/>
    <w:pPr>
      <w:widowControl w:val="0"/>
      <w:ind/>
    </w:pPr>
    <w:rPr>
      <w:rFonts w:ascii="Arial" w:hAnsi="Arial"/>
      <w:color w:val="2B4279"/>
    </w:rPr>
  </w:style>
  <w:style w:styleId="Style_38_ch" w:type="character">
    <w:name w:val=".HEADERTEXT"/>
    <w:link w:val="Style_38"/>
    <w:rPr>
      <w:rFonts w:ascii="Arial" w:hAnsi="Arial"/>
      <w:color w:val="2B4279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25" w:type="paragraph">
    <w:name w:val="Body Text"/>
    <w:basedOn w:val="Style_2"/>
    <w:link w:val="Style_25_ch"/>
    <w:pPr>
      <w:spacing w:after="120"/>
      <w:ind/>
    </w:pPr>
  </w:style>
  <w:style w:styleId="Style_25_ch" w:type="character">
    <w:name w:val="Body Text"/>
    <w:basedOn w:val="Style_2_ch"/>
    <w:link w:val="Style_25"/>
  </w:style>
  <w:style w:styleId="Style_40" w:type="table">
    <w:name w:val="Table Grid"/>
    <w:basedOn w:val="Style_4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2024-11-11T14:57:42Z</dcterms:modified>
</cp:coreProperties>
</file>