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 проект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</w:t>
      </w:r>
      <w:r>
        <w:rPr>
          <w:sz w:val="28"/>
        </w:rPr>
        <w:t>И</w:t>
      </w:r>
      <w:r>
        <w:rPr>
          <w:sz w:val="28"/>
        </w:rPr>
        <w:t>»</w:t>
      </w:r>
    </w:p>
    <w:p w14:paraId="04000000">
      <w:pPr>
        <w:widowControl w:val="0"/>
        <w:ind w:firstLine="0" w:left="0"/>
        <w:jc w:val="center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СОБРАНИЕ</w:t>
      </w:r>
      <w:r>
        <w:rPr>
          <w:rFonts w:ascii="Times New Roman" w:hAnsi="Times New Roman"/>
          <w:color w:val="000000"/>
          <w:spacing w:val="-1"/>
          <w:sz w:val="28"/>
        </w:rPr>
        <w:t xml:space="preserve"> ДЕПУТАТОВ ГОРОДСКОГО ПОСЕЛЕНИЯ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 «ДЕДОВИЧИ» </w:t>
      </w:r>
    </w:p>
    <w:p w14:paraId="05000000">
      <w:pPr>
        <w:widowControl w:val="0"/>
        <w:ind w:firstLine="0" w:left="0"/>
        <w:jc w:val="right"/>
        <w:rPr>
          <w:rFonts w:ascii="Times New Roman" w:hAnsi="Times New Roman"/>
          <w:sz w:val="28"/>
        </w:rPr>
      </w:pPr>
    </w:p>
    <w:p w14:paraId="06000000">
      <w:pPr>
        <w:widowControl w:val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ind/>
        <w:jc w:val="center"/>
      </w:pPr>
    </w:p>
    <w:p w14:paraId="08000000"/>
    <w:p w14:paraId="09000000">
      <w:pPr>
        <w:rPr>
          <w:sz w:val="26"/>
        </w:rPr>
      </w:pPr>
      <w:r>
        <w:t>от_______________№_________</w:t>
      </w:r>
    </w:p>
    <w:tbl>
      <w:tblPr>
        <w:tblInd w:type="dxa" w:w="0"/>
        <w:tblBorders>
          <w:top w:color="FFFFFF" w:sz="4" w:val="single"/>
          <w:left w:color="FFFFFF" w:sz="4" w:val="single"/>
          <w:bottom w:color="FFFFFF" w:sz="4" w:val="single"/>
          <w:right w:color="FFFFFF" w:sz="4" w:val="single"/>
          <w:insideH w:color="FFFFFF" w:sz="4" w:val="single"/>
          <w:insideV w:color="FFFFFF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3"/>
      </w:tblGrid>
      <w:tr>
        <w:tc>
          <w:tcPr>
            <w:tcW w:type="dxa" w:w="53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>(принято на ___ очередном заседании</w:t>
            </w:r>
          </w:p>
          <w:p w14:paraId="0B000000">
            <w:pPr>
              <w:rPr>
                <w:sz w:val="28"/>
              </w:rPr>
            </w:pPr>
            <w:r>
              <w:rPr>
                <w:sz w:val="28"/>
              </w:rPr>
              <w:t xml:space="preserve">Собрания депутатов городского поселения </w:t>
            </w:r>
          </w:p>
          <w:p w14:paraId="0C000000">
            <w:pPr>
              <w:rPr>
                <w:sz w:val="28"/>
              </w:rPr>
            </w:pPr>
            <w:r>
              <w:rPr>
                <w:sz w:val="28"/>
              </w:rPr>
              <w:t>«Дедовичи» четвертого созыва)</w:t>
            </w:r>
          </w:p>
          <w:p w14:paraId="0D000000">
            <w:pPr>
              <w:widowControl w:val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рп. Дедовичи</w:t>
            </w:r>
          </w:p>
        </w:tc>
      </w:tr>
    </w:tbl>
    <w:p w14:paraId="0E000000">
      <w:pPr>
        <w:pStyle w:val="Style_1"/>
        <w:numPr>
          <w:ilvl w:val="0"/>
          <w:numId w:val="0"/>
        </w:numPr>
        <w:spacing w:before="0"/>
        <w:ind/>
        <w:rPr>
          <w:rFonts w:ascii="Times New Roman" w:hAnsi="Times New Roman"/>
          <w:b w:val="0"/>
          <w:color w:val="000000"/>
        </w:rPr>
      </w:pPr>
    </w:p>
    <w:p w14:paraId="0F000000">
      <w:pPr>
        <w:pStyle w:val="Style_2"/>
        <w:ind/>
        <w:jc w:val="center"/>
        <w:rPr>
          <w:sz w:val="20"/>
        </w:rPr>
      </w:pPr>
      <w:r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изменения в </w:t>
      </w:r>
      <w:r>
        <w:rPr>
          <w:b w:val="0"/>
          <w:sz w:val="28"/>
        </w:rPr>
        <w:t>Поряд</w:t>
      </w:r>
      <w:r>
        <w:rPr>
          <w:b w:val="0"/>
          <w:sz w:val="28"/>
        </w:rPr>
        <w:t>о</w:t>
      </w:r>
      <w:r>
        <w:rPr>
          <w:b w:val="0"/>
          <w:sz w:val="28"/>
        </w:rPr>
        <w:t>к предоставления иных межбюджетных трансфертов из бюджета муниципального образования «</w:t>
      </w:r>
      <w:r>
        <w:rPr>
          <w:b w:val="0"/>
          <w:sz w:val="28"/>
        </w:rPr>
        <w:t>Дедовичи</w:t>
      </w:r>
      <w:r>
        <w:rPr>
          <w:b w:val="0"/>
          <w:sz w:val="28"/>
        </w:rPr>
        <w:t>» бюджету   муниципального образования  «Дедовичский район»</w:t>
      </w:r>
    </w:p>
    <w:p w14:paraId="10000000">
      <w:pPr>
        <w:widowControl w:val="0"/>
        <w:ind/>
      </w:pPr>
    </w:p>
    <w:p w14:paraId="1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В соответствии со статьёй 142.5 Бюджетного кодекса Российской Федерации, Федеральным</w:t>
      </w:r>
      <w:r>
        <w:rPr>
          <w:color w:val="000000"/>
          <w:sz w:val="28"/>
          <w:u w:val="none"/>
        </w:rPr>
        <w:t xml:space="preserve"> 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"consultantplus://offline/ref=AC671ABBED545C5051C82C04537B68D30DBB69A00916E2AE0DF81E9A0CO04EH"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законом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от 06.10.2003 N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 xml:space="preserve">», 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 РЕШИЛО:</w:t>
      </w:r>
    </w:p>
    <w:p w14:paraId="1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изменение в </w:t>
      </w:r>
      <w:r>
        <w:rPr>
          <w:sz w:val="28"/>
        </w:rPr>
        <w:t>Поряд</w:t>
      </w:r>
      <w:r>
        <w:rPr>
          <w:sz w:val="28"/>
        </w:rPr>
        <w:t>ок</w:t>
      </w:r>
      <w:r>
        <w:rPr>
          <w:sz w:val="28"/>
        </w:rPr>
        <w:t xml:space="preserve"> предоставления иных межбюджетных трансфертов из бюджета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 xml:space="preserve">» бюджету муниципального образования «Дедовичский район», утвержденный решением 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от </w:t>
      </w:r>
      <w:r>
        <w:rPr>
          <w:sz w:val="28"/>
        </w:rPr>
        <w:t>25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 xml:space="preserve">.2021 № </w:t>
      </w:r>
      <w:r>
        <w:rPr>
          <w:sz w:val="28"/>
        </w:rPr>
        <w:t>57</w:t>
      </w:r>
      <w:r>
        <w:rPr>
          <w:sz w:val="28"/>
        </w:rPr>
        <w:t xml:space="preserve">, </w:t>
      </w:r>
      <w:r>
        <w:rPr>
          <w:sz w:val="28"/>
        </w:rPr>
        <w:t>изложив приложение</w:t>
      </w:r>
      <w:r>
        <w:rPr>
          <w:sz w:val="28"/>
        </w:rPr>
        <w:t xml:space="preserve"> 1</w:t>
      </w:r>
      <w:r>
        <w:rPr>
          <w:sz w:val="28"/>
        </w:rPr>
        <w:t xml:space="preserve"> к Порядку согласно приложению к настоящему решению.</w:t>
      </w:r>
    </w:p>
    <w:p w14:paraId="1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решение распространяется на правоотношения, возникшие с 01 января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4000000">
      <w:pPr>
        <w:widowControl w:val="0"/>
        <w:ind w:firstLine="567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 Обнародовать настоящее решение.</w:t>
      </w:r>
    </w:p>
    <w:p w14:paraId="15000000">
      <w:pPr>
        <w:widowControl w:val="0"/>
        <w:ind/>
        <w:rPr>
          <w:sz w:val="28"/>
        </w:rPr>
      </w:pPr>
    </w:p>
    <w:p w14:paraId="16000000">
      <w:pPr>
        <w:spacing w:line="360" w:lineRule="auto"/>
        <w:ind/>
        <w:rPr>
          <w:sz w:val="28"/>
        </w:rPr>
      </w:pPr>
      <w:r>
        <w:rPr>
          <w:sz w:val="28"/>
        </w:rPr>
        <w:t xml:space="preserve">Глава городского поселения «Дедовичи»                                </w:t>
      </w:r>
      <w:r>
        <w:rPr>
          <w:sz w:val="28"/>
        </w:rPr>
        <w:t xml:space="preserve">     </w:t>
      </w:r>
      <w:r>
        <w:rPr>
          <w:sz w:val="28"/>
        </w:rPr>
        <w:t>Н.Ю. Елизаров</w:t>
      </w:r>
    </w:p>
    <w:p w14:paraId="17000000">
      <w:pPr>
        <w:ind w:firstLine="0" w:left="214"/>
        <w:jc w:val="right"/>
      </w:pPr>
    </w:p>
    <w:p w14:paraId="18000000">
      <w:pPr>
        <w:ind w:firstLine="0" w:left="214"/>
        <w:jc w:val="right"/>
      </w:pPr>
    </w:p>
    <w:p w14:paraId="19000000">
      <w:pPr>
        <w:ind w:firstLine="0" w:left="214"/>
        <w:jc w:val="right"/>
      </w:pPr>
    </w:p>
    <w:p w14:paraId="1A000000">
      <w:pPr>
        <w:ind w:firstLine="0" w:left="214"/>
        <w:jc w:val="right"/>
      </w:pPr>
    </w:p>
    <w:p w14:paraId="1B000000">
      <w:pPr>
        <w:ind w:firstLine="0" w:left="214"/>
        <w:jc w:val="right"/>
      </w:pPr>
    </w:p>
    <w:p w14:paraId="1C000000">
      <w:pPr>
        <w:ind w:firstLine="0" w:left="214"/>
        <w:jc w:val="right"/>
      </w:pPr>
    </w:p>
    <w:p w14:paraId="1D000000">
      <w:pPr>
        <w:ind w:firstLine="0" w:left="214"/>
        <w:jc w:val="right"/>
      </w:pPr>
    </w:p>
    <w:p w14:paraId="1E000000">
      <w:pPr>
        <w:ind w:firstLine="0" w:left="214"/>
        <w:jc w:val="right"/>
      </w:pPr>
    </w:p>
    <w:p w14:paraId="1F000000">
      <w:pPr>
        <w:ind w:firstLine="0" w:left="214"/>
        <w:jc w:val="right"/>
      </w:pPr>
    </w:p>
    <w:p w14:paraId="20000000">
      <w:pPr>
        <w:ind w:firstLine="0" w:left="214"/>
        <w:jc w:val="right"/>
      </w:pPr>
    </w:p>
    <w:p w14:paraId="21000000">
      <w:pPr>
        <w:ind w:firstLine="0" w:left="214"/>
        <w:jc w:val="right"/>
      </w:pPr>
    </w:p>
    <w:p w14:paraId="22000000">
      <w:pPr>
        <w:ind w:firstLine="0" w:left="214"/>
        <w:jc w:val="right"/>
      </w:pPr>
    </w:p>
    <w:p w14:paraId="23000000">
      <w:pPr>
        <w:ind w:firstLine="0" w:left="214"/>
        <w:jc w:val="right"/>
      </w:pPr>
    </w:p>
    <w:p w14:paraId="24000000">
      <w:pPr>
        <w:ind w:firstLine="0" w:left="214"/>
        <w:jc w:val="right"/>
        <w:rPr>
          <w:color w:val="000000"/>
        </w:rPr>
      </w:pPr>
      <w:r>
        <w:rPr>
          <w:color w:val="000000"/>
        </w:rPr>
        <w:t>Приложение 1</w:t>
      </w:r>
    </w:p>
    <w:p w14:paraId="25000000">
      <w:pPr>
        <w:ind/>
        <w:jc w:val="right"/>
      </w:pPr>
      <w:r>
        <w:rPr>
          <w:color w:val="000000"/>
        </w:rPr>
        <w:t xml:space="preserve">к Порядку </w:t>
      </w:r>
      <w:r>
        <w:t xml:space="preserve">предоставления иных </w:t>
      </w:r>
      <w:r>
        <w:t>межбюджетных</w:t>
      </w:r>
    </w:p>
    <w:p w14:paraId="26000000">
      <w:pPr>
        <w:ind/>
        <w:jc w:val="center"/>
        <w:rPr>
          <w:color w:val="000000"/>
        </w:rPr>
      </w:pPr>
      <w:r>
        <w:t xml:space="preserve">                                                            </w:t>
      </w:r>
      <w: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 xml:space="preserve">из бюджета муниципального </w:t>
      </w:r>
    </w:p>
    <w:p w14:paraId="27000000">
      <w:pPr>
        <w:ind w:firstLine="0" w:left="214"/>
        <w:jc w:val="center"/>
        <w:rPr>
          <w:color w:val="000000"/>
        </w:rPr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образования «Дедовичи» бюджету </w:t>
      </w:r>
    </w:p>
    <w:p w14:paraId="28000000">
      <w:pPr>
        <w:ind w:firstLine="0" w:left="214"/>
        <w:jc w:val="center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муниципального образования </w:t>
      </w:r>
    </w:p>
    <w:p w14:paraId="29000000">
      <w:pPr>
        <w:ind w:firstLine="0" w:left="214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>«Дедовичский район»</w:t>
      </w:r>
    </w:p>
    <w:p w14:paraId="2A000000">
      <w:pPr>
        <w:spacing w:after="10" w:line="264" w:lineRule="auto"/>
        <w:ind w:firstLine="0" w:left="199"/>
        <w:jc w:val="both"/>
        <w:rPr>
          <w:color w:val="000000"/>
        </w:rPr>
      </w:pPr>
    </w:p>
    <w:p w14:paraId="2B000000">
      <w:pPr>
        <w:spacing w:after="10" w:line="264" w:lineRule="auto"/>
        <w:ind w:firstLine="0" w:left="199"/>
        <w:jc w:val="both"/>
        <w:rPr>
          <w:color w:val="000000"/>
        </w:rPr>
      </w:pPr>
    </w:p>
    <w:p w14:paraId="2C000000">
      <w:pPr>
        <w:spacing w:after="10" w:line="264" w:lineRule="auto"/>
        <w:ind w:firstLine="0" w:left="199"/>
        <w:jc w:val="both"/>
        <w:rPr>
          <w:color w:val="000000"/>
        </w:rPr>
      </w:pPr>
    </w:p>
    <w:p w14:paraId="2D000000">
      <w:pPr>
        <w:spacing w:after="10" w:line="264" w:lineRule="auto"/>
        <w:ind w:firstLine="0" w:left="199"/>
        <w:jc w:val="center"/>
        <w:rPr>
          <w:sz w:val="28"/>
        </w:rPr>
      </w:pPr>
      <w:r>
        <w:rPr>
          <w:sz w:val="32"/>
        </w:rPr>
        <w:t>Перечень</w:t>
      </w:r>
    </w:p>
    <w:p w14:paraId="2E000000">
      <w:pPr>
        <w:spacing w:after="10" w:line="264" w:lineRule="auto"/>
        <w:ind w:firstLine="0" w:left="199"/>
        <w:jc w:val="center"/>
        <w:rPr>
          <w:sz w:val="28"/>
        </w:rPr>
      </w:pPr>
      <w:r>
        <w:rPr>
          <w:sz w:val="28"/>
        </w:rPr>
        <w:t xml:space="preserve">иных межбюджетных трансфертов, </w:t>
      </w:r>
    </w:p>
    <w:p w14:paraId="2F000000">
      <w:pPr>
        <w:spacing w:line="264" w:lineRule="auto"/>
        <w:ind w:firstLine="0" w:left="199"/>
        <w:jc w:val="center"/>
        <w:rPr>
          <w:color w:val="000000"/>
        </w:rPr>
      </w:pPr>
      <w:r>
        <w:rPr>
          <w:sz w:val="28"/>
        </w:rPr>
        <w:t xml:space="preserve">передаваемых </w:t>
      </w:r>
      <w:r>
        <w:rPr>
          <w:sz w:val="28"/>
          <w:highlight w:val="white"/>
        </w:rPr>
        <w:t>бюджету муниципального образования «Дедовичский район» из бюджета муниципального образования «</w:t>
      </w:r>
      <w:r>
        <w:rPr>
          <w:sz w:val="28"/>
          <w:highlight w:val="white"/>
        </w:rPr>
        <w:t>Дедовичи</w:t>
      </w:r>
      <w:r>
        <w:rPr>
          <w:sz w:val="28"/>
          <w:highlight w:val="white"/>
        </w:rPr>
        <w:t xml:space="preserve">»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30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1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2000000">
      <w:pPr>
        <w:spacing w:after="10" w:line="264" w:lineRule="auto"/>
        <w:ind w:firstLine="0" w:left="19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1. Иные межбюджетные трансферты на реализацию полномочий контрольно-счетного органа муниципального образования «</w:t>
      </w:r>
      <w:r>
        <w:rPr>
          <w:color w:val="000000"/>
          <w:sz w:val="28"/>
        </w:rPr>
        <w:t>Дедовичи</w:t>
      </w:r>
      <w:r>
        <w:rPr>
          <w:color w:val="000000"/>
          <w:sz w:val="28"/>
        </w:rPr>
        <w:t>» по осуществлению внешнего муниципального финансового контроля.</w:t>
      </w:r>
    </w:p>
    <w:p w14:paraId="33000000">
      <w:pPr>
        <w:spacing w:after="10" w:line="264" w:lineRule="auto"/>
        <w:ind w:firstLine="0" w:left="19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2.  Иные межбюджетные трансферты на осуществление единовременной выплаты гражданам РФ, постоянно  проживающим на территории муниципального образования, в связи с празднованием очередной годовщины Победы.</w:t>
      </w:r>
    </w:p>
    <w:p w14:paraId="34000000">
      <w:pPr>
        <w:spacing w:after="10" w:line="264" w:lineRule="auto"/>
        <w:ind w:firstLine="0" w:left="199"/>
        <w:jc w:val="both"/>
        <w:rPr>
          <w:color w:val="000000"/>
        </w:rPr>
      </w:pPr>
      <w:r>
        <w:rPr>
          <w:color w:val="000000"/>
          <w:sz w:val="28"/>
        </w:rPr>
        <w:t xml:space="preserve">    3.  Иные межбюджетные трансферты на реализацию полномочий по назначению и выплате</w:t>
      </w:r>
      <w:r>
        <w:rPr>
          <w:color w:val="000000"/>
          <w:sz w:val="28"/>
          <w:highlight w:val="white"/>
        </w:rPr>
        <w:t xml:space="preserve"> пенсии</w:t>
      </w:r>
      <w:r>
        <w:rPr>
          <w:color w:val="000000"/>
          <w:sz w:val="28"/>
        </w:rPr>
        <w:t xml:space="preserve"> и доплат к трудовой пенсии.</w:t>
      </w:r>
    </w:p>
    <w:p w14:paraId="35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6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7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8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9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A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B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C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D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E000000">
      <w:pPr>
        <w:spacing w:after="10" w:line="264" w:lineRule="auto"/>
        <w:ind w:firstLine="0" w:left="199"/>
        <w:jc w:val="both"/>
        <w:rPr>
          <w:color w:val="000000"/>
        </w:rPr>
      </w:pPr>
    </w:p>
    <w:p w14:paraId="3F000000">
      <w:pPr>
        <w:spacing w:after="10" w:line="264" w:lineRule="auto"/>
        <w:ind w:firstLine="0" w:left="199"/>
        <w:jc w:val="both"/>
        <w:rPr>
          <w:color w:val="000000"/>
        </w:rPr>
      </w:pPr>
    </w:p>
    <w:p w14:paraId="40000000">
      <w:pPr>
        <w:rPr>
          <w:color w:val="000000"/>
          <w:sz w:val="20"/>
        </w:rPr>
      </w:pPr>
    </w:p>
    <w:p w14:paraId="41000000">
      <w:pPr>
        <w:ind w:firstLine="0" w:left="214"/>
        <w:jc w:val="right"/>
      </w:pPr>
    </w:p>
    <w:p w14:paraId="42000000">
      <w:pPr>
        <w:ind w:firstLine="0" w:left="214"/>
        <w:jc w:val="right"/>
      </w:pPr>
    </w:p>
    <w:p w14:paraId="43000000">
      <w:pPr>
        <w:ind w:firstLine="0" w:left="214"/>
        <w:jc w:val="right"/>
      </w:pPr>
    </w:p>
    <w:p w14:paraId="44000000">
      <w:pPr>
        <w:ind w:firstLine="0" w:left="214"/>
        <w:jc w:val="right"/>
      </w:pPr>
    </w:p>
    <w:p w14:paraId="45000000">
      <w:pPr>
        <w:ind w:firstLine="0" w:left="214"/>
        <w:jc w:val="right"/>
      </w:pPr>
    </w:p>
    <w:p w14:paraId="46000000">
      <w:pPr>
        <w:ind w:firstLine="0" w:left="214"/>
        <w:jc w:val="right"/>
      </w:pPr>
    </w:p>
    <w:p w14:paraId="47000000">
      <w:pPr>
        <w:ind w:firstLine="0" w:left="214"/>
        <w:jc w:val="right"/>
      </w:pPr>
    </w:p>
    <w:p w14:paraId="48000000">
      <w:pPr>
        <w:ind w:firstLine="0" w:left="-495"/>
        <w:jc w:val="right"/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Текст выноски Знак"/>
    <w:link w:val="Style_5_ch"/>
    <w:rPr>
      <w:rFonts w:ascii="Segoe UI" w:hAnsi="Segoe UI"/>
      <w:sz w:val="18"/>
    </w:rPr>
  </w:style>
  <w:style w:styleId="Style_5_ch" w:type="character">
    <w:name w:val="Текст выноски Знак"/>
    <w:link w:val="Style_5"/>
    <w:rPr>
      <w:rFonts w:ascii="Segoe UI" w:hAnsi="Segoe UI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Указатель1"/>
    <w:basedOn w:val="Style_4"/>
    <w:link w:val="Style_10_ch"/>
  </w:style>
  <w:style w:styleId="Style_10_ch" w:type="character">
    <w:name w:val="Указатель1"/>
    <w:basedOn w:val="Style_4_ch"/>
    <w:link w:val="Style_10"/>
  </w:style>
  <w:style w:styleId="Style_11" w:type="paragraph">
    <w:name w:val="WW8Num1z5"/>
    <w:link w:val="Style_11_ch"/>
  </w:style>
  <w:style w:styleId="Style_11_ch" w:type="character">
    <w:name w:val="WW8Num1z5"/>
    <w:link w:val="Style_11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WW8Num1z2"/>
    <w:link w:val="Style_13_ch"/>
  </w:style>
  <w:style w:styleId="Style_13_ch" w:type="character">
    <w:name w:val="WW8Num1z2"/>
    <w:link w:val="Style_13"/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b w:val="1"/>
      <w:sz w:val="24"/>
    </w:rPr>
  </w:style>
  <w:style w:styleId="Style_2_ch" w:type="character">
    <w:name w:val="ConsPlusTitle"/>
    <w:link w:val="Style_2"/>
    <w:rPr>
      <w:b w:val="1"/>
      <w:sz w:val="24"/>
    </w:rPr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Body Text"/>
    <w:basedOn w:val="Style_4"/>
    <w:link w:val="Style_16_ch"/>
    <w:pPr>
      <w:spacing w:line="264" w:lineRule="auto"/>
      <w:ind/>
      <w:jc w:val="both"/>
    </w:pPr>
    <w:rPr>
      <w:sz w:val="28"/>
    </w:rPr>
  </w:style>
  <w:style w:styleId="Style_16_ch" w:type="character">
    <w:name w:val="Body Text"/>
    <w:basedOn w:val="Style_4_ch"/>
    <w:link w:val="Style_16"/>
    <w:rPr>
      <w:sz w:val="28"/>
    </w:rPr>
  </w:style>
  <w:style w:styleId="Style_17" w:type="paragraph">
    <w:name w:val="Balloon Text"/>
    <w:basedOn w:val="Style_4"/>
    <w:link w:val="Style_17_ch"/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List"/>
    <w:basedOn w:val="Style_16"/>
    <w:link w:val="Style_18_ch"/>
  </w:style>
  <w:style w:styleId="Style_18_ch" w:type="character">
    <w:name w:val="List"/>
    <w:basedOn w:val="Style_16_ch"/>
    <w:link w:val="Style_18"/>
  </w:style>
  <w:style w:styleId="Style_19" w:type="paragraph">
    <w:name w:val="WW8Num1z3"/>
    <w:link w:val="Style_19_ch"/>
  </w:style>
  <w:style w:styleId="Style_19_ch" w:type="character">
    <w:name w:val="WW8Num1z3"/>
    <w:link w:val="Style_19"/>
  </w:style>
  <w:style w:styleId="Style_20" w:type="paragraph">
    <w:name w:val="Заголовок 1 Знак"/>
    <w:link w:val="Style_20_ch"/>
    <w:rPr>
      <w:rFonts w:ascii="Cambria" w:hAnsi="Cambria"/>
      <w:b w:val="1"/>
      <w:color w:val="365F91"/>
      <w:sz w:val="28"/>
    </w:rPr>
  </w:style>
  <w:style w:styleId="Style_20_ch" w:type="character">
    <w:name w:val="Заголовок 1 Знак"/>
    <w:link w:val="Style_20"/>
    <w:rPr>
      <w:rFonts w:ascii="Cambria" w:hAnsi="Cambria"/>
      <w:b w:val="1"/>
      <w:color w:val="365F91"/>
      <w:sz w:val="28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keepLines w:val="1"/>
      <w:numPr>
        <w:ilvl w:val="0"/>
        <w:numId w:val="1"/>
      </w:numPr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4_ch"/>
    <w:link w:val="Style_1"/>
    <w:rPr>
      <w:rFonts w:ascii="Cambria" w:hAnsi="Cambria"/>
      <w:b w:val="1"/>
      <w:color w:val="365F91"/>
      <w:sz w:val="28"/>
    </w:rPr>
  </w:style>
  <w:style w:styleId="Style_24" w:type="paragraph">
    <w:name w:val="Содержимое таблицы"/>
    <w:basedOn w:val="Style_4"/>
    <w:link w:val="Style_24_ch"/>
  </w:style>
  <w:style w:styleId="Style_24_ch" w:type="character">
    <w:name w:val="Содержимое таблицы"/>
    <w:basedOn w:val="Style_4_ch"/>
    <w:link w:val="Style_24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Заголовок таблицы"/>
    <w:basedOn w:val="Style_24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24_ch"/>
    <w:link w:val="Style_30"/>
    <w:rPr>
      <w:b w:val="1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WW8Num1z1"/>
    <w:link w:val="Style_33_ch"/>
  </w:style>
  <w:style w:styleId="Style_33_ch" w:type="character">
    <w:name w:val="WW8Num1z1"/>
    <w:link w:val="Style_33"/>
  </w:style>
  <w:style w:styleId="Style_34" w:type="paragraph">
    <w:name w:val="WW8Num1z0"/>
    <w:link w:val="Style_34_ch"/>
  </w:style>
  <w:style w:styleId="Style_34_ch" w:type="character">
    <w:name w:val="WW8Num1z0"/>
    <w:link w:val="Style_34"/>
  </w:style>
  <w:style w:styleId="Style_35" w:type="paragraph">
    <w:name w:val="Основной текст Знак"/>
    <w:basedOn w:val="Style_36"/>
    <w:link w:val="Style_35_ch"/>
    <w:rPr>
      <w:sz w:val="28"/>
    </w:rPr>
  </w:style>
  <w:style w:styleId="Style_35_ch" w:type="character">
    <w:name w:val="Основной текст Знак"/>
    <w:basedOn w:val="Style_36_ch"/>
    <w:link w:val="Style_35"/>
    <w:rPr>
      <w:sz w:val="28"/>
    </w:rPr>
  </w:style>
  <w:style w:styleId="Style_37" w:type="paragraph">
    <w:name w:val="Заголовок"/>
    <w:basedOn w:val="Style_4"/>
    <w:next w:val="Style_16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4_ch"/>
    <w:link w:val="Style_37"/>
    <w:rPr>
      <w:rFonts w:ascii="Arial" w:hAnsi="Arial"/>
      <w:sz w:val="28"/>
    </w:rPr>
  </w:style>
  <w:style w:styleId="Style_38" w:type="paragraph">
    <w:name w:val="WW8Num1z4"/>
    <w:link w:val="Style_38_ch"/>
  </w:style>
  <w:style w:styleId="Style_38_ch" w:type="character">
    <w:name w:val="WW8Num1z4"/>
    <w:link w:val="Style_38"/>
  </w:style>
  <w:style w:styleId="Style_39" w:type="paragraph">
    <w:name w:val="toc 5"/>
    <w:next w:val="Style_4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WW8Num1z6"/>
    <w:link w:val="Style_40_ch"/>
  </w:style>
  <w:style w:styleId="Style_40_ch" w:type="character">
    <w:name w:val="WW8Num1z6"/>
    <w:link w:val="Style_40"/>
  </w:style>
  <w:style w:styleId="Style_41" w:type="paragraph">
    <w:name w:val="Указатель2"/>
    <w:basedOn w:val="Style_4"/>
    <w:link w:val="Style_41_ch"/>
  </w:style>
  <w:style w:styleId="Style_41_ch" w:type="character">
    <w:name w:val="Указатель2"/>
    <w:basedOn w:val="Style_4_ch"/>
    <w:link w:val="Style_41"/>
  </w:style>
  <w:style w:styleId="Style_42" w:type="paragraph">
    <w:name w:val="Название2"/>
    <w:basedOn w:val="Style_4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2"/>
    <w:basedOn w:val="Style_4_ch"/>
    <w:link w:val="Style_42"/>
    <w:rPr>
      <w:i w:val="1"/>
      <w:sz w:val="24"/>
    </w:rPr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4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Название1"/>
    <w:basedOn w:val="Style_4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1"/>
    <w:basedOn w:val="Style_4_ch"/>
    <w:link w:val="Style_47"/>
    <w:rPr>
      <w:i w:val="1"/>
      <w:sz w:val="24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2024-03-26T13:21:03Z</dcterms:modified>
</cp:coreProperties>
</file>