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 xml:space="preserve">СОБРАНИЕ ДЕПУТАТОВ ГОРОДСКОГО ПОСЕЛЕНИЯ </w:t>
      </w:r>
      <w:r>
        <w:rPr>
          <w:sz w:val="28"/>
        </w:rPr>
        <w:t>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РЕШЕНИЕ</w:t>
      </w:r>
    </w:p>
    <w:p w14:paraId="06000000">
      <w:pPr>
        <w:ind/>
        <w:jc w:val="right"/>
      </w:pPr>
      <w:r>
        <w:rPr>
          <w:sz w:val="28"/>
        </w:rPr>
        <w:t>Проект</w:t>
      </w:r>
    </w:p>
    <w:p w14:paraId="07000000">
      <w:r>
        <w:t>от ________ № ____</w:t>
      </w:r>
    </w:p>
    <w:p w14:paraId="08000000">
      <w:r>
        <w:t>(принято на ___ очередном заседании</w:t>
      </w:r>
    </w:p>
    <w:p w14:paraId="09000000">
      <w:r>
        <w:t xml:space="preserve">Собрания депутатов городского поселения </w:t>
      </w:r>
    </w:p>
    <w:p w14:paraId="0A000000">
      <w:r>
        <w:t>«Дедовичи» четвертого созыва)</w:t>
      </w:r>
    </w:p>
    <w:p w14:paraId="0B000000">
      <w:r>
        <w:t xml:space="preserve">рп. Дедовичи </w:t>
      </w:r>
    </w:p>
    <w:p w14:paraId="0C000000">
      <w:pPr>
        <w:ind w:right="282"/>
        <w:jc w:val="both"/>
      </w:pPr>
    </w:p>
    <w:p w14:paraId="0D000000">
      <w:pPr>
        <w:ind w:right="282"/>
        <w:jc w:val="both"/>
      </w:pPr>
    </w:p>
    <w:p w14:paraId="0E000000">
      <w:pPr>
        <w:ind w:right="282"/>
        <w:jc w:val="both"/>
      </w:pPr>
      <w:r>
        <w:t>О внесении изменений в Правила землепользования</w:t>
      </w:r>
    </w:p>
    <w:p w14:paraId="0F000000">
      <w:pPr>
        <w:ind w:right="282"/>
        <w:jc w:val="both"/>
      </w:pPr>
      <w:r>
        <w:t>и застройки муниципального образования</w:t>
      </w:r>
    </w:p>
    <w:p w14:paraId="10000000">
      <w:pPr>
        <w:ind w:right="282"/>
        <w:jc w:val="both"/>
      </w:pPr>
      <w:r>
        <w:t>«Дедовичи»</w:t>
      </w:r>
    </w:p>
    <w:p w14:paraId="11000000">
      <w:pPr>
        <w:ind w:right="282"/>
        <w:jc w:val="both"/>
      </w:pPr>
    </w:p>
    <w:p w14:paraId="12000000">
      <w:pPr>
        <w:widowControl w:val="0"/>
        <w:ind/>
        <w:jc w:val="both"/>
        <w:outlineLvl w:val="0"/>
      </w:pPr>
    </w:p>
    <w:p w14:paraId="13000000">
      <w:pPr>
        <w:ind w:firstLine="708" w:left="0"/>
        <w:jc w:val="both"/>
      </w:pPr>
      <w:r>
        <w:t>В соответствии с</w:t>
      </w:r>
      <w:r>
        <w:t>о ст.</w:t>
      </w:r>
      <w:r>
        <w:t>ст.</w:t>
      </w:r>
      <w:r>
        <w:t xml:space="preserve"> 32 и 33 Градостроительного кодекса Российской Федерации</w:t>
      </w:r>
      <w:r>
        <w:t xml:space="preserve"> </w:t>
      </w:r>
      <w:r>
        <w:t>и</w:t>
      </w:r>
      <w:r>
        <w:t xml:space="preserve"> </w:t>
      </w:r>
      <w:r>
        <w:t>ст. 65 Водного кодекса Российской Федерации</w:t>
      </w:r>
      <w:r>
        <w:t xml:space="preserve"> </w:t>
      </w:r>
      <w:r>
        <w:t xml:space="preserve">Собрание депутатов </w:t>
      </w:r>
      <w:r>
        <w:t>городского</w:t>
      </w:r>
      <w:r>
        <w:t xml:space="preserve"> поселения «</w:t>
      </w:r>
      <w:r>
        <w:t>Дедовичи»</w:t>
      </w:r>
      <w:r>
        <w:t xml:space="preserve"> РЕШИЛО:</w:t>
      </w:r>
    </w:p>
    <w:p w14:paraId="14000000">
      <w:pPr>
        <w:widowControl w:val="0"/>
        <w:numPr>
          <w:ilvl w:val="0"/>
          <w:numId w:val="1"/>
        </w:numPr>
        <w:ind w:firstLine="540" w:left="0"/>
        <w:jc w:val="both"/>
        <w:outlineLvl w:val="0"/>
      </w:pPr>
      <w:r>
        <w:t>Внести в Правила землепользования и застройки муниципального образования «</w:t>
      </w:r>
      <w:r>
        <w:t>Дедовичи</w:t>
      </w:r>
      <w:r>
        <w:t xml:space="preserve">», утверждённые решением Собрания депутатов </w:t>
      </w:r>
      <w:r>
        <w:t>городского</w:t>
      </w:r>
      <w:r>
        <w:t xml:space="preserve"> поселения «</w:t>
      </w:r>
      <w:r>
        <w:t>Дедовичи»</w:t>
      </w:r>
      <w:r>
        <w:t xml:space="preserve"> от </w:t>
      </w:r>
      <w:r>
        <w:t>18.07.2011 № 62, следующие изменения:</w:t>
      </w:r>
    </w:p>
    <w:p w14:paraId="15000000">
      <w:pPr>
        <w:widowControl w:val="0"/>
        <w:ind w:firstLine="540" w:left="0"/>
        <w:jc w:val="both"/>
        <w:outlineLvl w:val="0"/>
      </w:pPr>
      <w:r>
        <w:t>1.1</w:t>
      </w:r>
      <w:r>
        <w:t>.</w:t>
      </w:r>
      <w:r>
        <w:t xml:space="preserve"> </w:t>
      </w:r>
      <w:r>
        <w:t>В статье 59 подпункт</w:t>
      </w:r>
      <w:r>
        <w:t>ы</w:t>
      </w:r>
      <w:r>
        <w:t xml:space="preserve"> 2 </w:t>
      </w:r>
      <w:r>
        <w:t xml:space="preserve">и 6 </w:t>
      </w:r>
      <w:r>
        <w:t>пункта 2</w:t>
      </w:r>
      <w:r>
        <w:t xml:space="preserve"> </w:t>
      </w:r>
      <w:r>
        <w:t>изложить в следующей редакции:</w:t>
      </w:r>
    </w:p>
    <w:p w14:paraId="16000000">
      <w:pPr>
        <w:widowControl w:val="0"/>
        <w:ind w:firstLine="540" w:left="0"/>
        <w:jc w:val="both"/>
        <w:outlineLvl w:val="0"/>
      </w:pPr>
      <w:r>
        <w:t xml:space="preserve"> </w:t>
      </w:r>
      <w:r>
        <w:t>«</w:t>
      </w:r>
      <w:r>
        <w:t>Статья 59. Требования и ограничения на территориях водоохранных подзон и полос земли вдоль береговой линии водного объекта общего пользования (береговых полос)</w:t>
      </w:r>
    </w:p>
    <w:p w14:paraId="17000000">
      <w:pPr>
        <w:ind w:firstLine="708" w:left="0"/>
      </w:pPr>
      <w:r>
        <w:t xml:space="preserve">2. </w:t>
      </w:r>
      <w:r>
        <w:t>В границах водоохранных зон запрещаются:</w:t>
      </w:r>
    </w:p>
    <w:p w14:paraId="18000000">
      <w:pPr>
        <w:widowControl w:val="0"/>
        <w:ind w:firstLine="708" w:left="0"/>
        <w:jc w:val="both"/>
      </w:pPr>
      <w:r>
        <w:t>2) размещение</w:t>
      </w:r>
      <w:r>
        <w:t xml:space="preserve"> кладбищ, скотомогильников, объектов размещения</w:t>
      </w:r>
      <w:r>
        <w:t xml:space="preserve"> отходов производства и потребления, химических, взрывчатых, токсичных,</w:t>
      </w:r>
      <w:r>
        <w:t xml:space="preserve"> отравляющих и ядовитых </w:t>
      </w:r>
      <w:r>
        <w:t>веществ (за исключением специализированных хранилищ аммиака, ментола, аммиачной селитры и нитрата калия на территориях морских портов, перечень которых утверждается Правительством Российской Федерации, за пределами границ прибрежных защитных полос)</w:t>
      </w:r>
      <w:r>
        <w:t xml:space="preserve"> пунктов за</w:t>
      </w:r>
      <w:r>
        <w:t>хоронения радиоактивных отходов, а</w:t>
      </w:r>
      <w:r>
        <w:t xml:space="preserve"> </w:t>
      </w:r>
      <w:r>
        <w:t>также загрязнение территории загрязняющими веществами, предельно допустимые</w:t>
      </w:r>
      <w:r>
        <w:t xml:space="preserve"> концентрации которых в водах водных объектов рыбохозяйственного значения не установлены; </w:t>
      </w:r>
    </w:p>
    <w:p w14:paraId="19000000">
      <w:pPr>
        <w:widowControl w:val="0"/>
        <w:ind w:firstLine="708" w:left="0"/>
        <w:jc w:val="both"/>
      </w:pPr>
      <w:r>
        <w:t>6)</w:t>
      </w:r>
      <w:r>
        <w:t xml:space="preserve"> </w:t>
      </w:r>
      <w:r>
        <w:t>хранение пестицидов и агрохимикатов (за исключением хранения агрохимикатов в специализированных хранилищах</w:t>
      </w:r>
      <w:r>
        <w:t xml:space="preserve">, </w:t>
      </w:r>
      <w:r>
        <w:t>размещённых</w:t>
      </w:r>
      <w:r>
        <w:t xml:space="preserve"> на территориях морских портов за пределами границ прибрежных защитных полос),</w:t>
      </w:r>
      <w:r>
        <w:t xml:space="preserve"> примен</w:t>
      </w:r>
      <w:r>
        <w:t>ение пестицидов и агрохимикатов;».</w:t>
      </w:r>
      <w:r>
        <w:t xml:space="preserve"> </w:t>
      </w:r>
    </w:p>
    <w:p w14:paraId="1A000000">
      <w:pPr>
        <w:widowControl w:val="0"/>
        <w:ind w:firstLine="540" w:left="0"/>
        <w:jc w:val="both"/>
        <w:outlineLvl w:val="0"/>
      </w:pPr>
      <w:r>
        <w:t>1.2.</w:t>
      </w:r>
      <w:r>
        <w:rPr>
          <w:b w:val="1"/>
        </w:rPr>
        <w:t xml:space="preserve"> </w:t>
      </w:r>
      <w:r>
        <w:t>Статью 59 дополнить пунктом 7 следующего содержания:</w:t>
      </w:r>
      <w:r>
        <w:t xml:space="preserve"> </w:t>
      </w:r>
    </w:p>
    <w:p w14:paraId="1B000000">
      <w:pPr>
        <w:widowControl w:val="0"/>
        <w:ind w:firstLine="540" w:left="0"/>
        <w:jc w:val="both"/>
        <w:outlineLvl w:val="0"/>
      </w:pPr>
      <w:r>
        <w:t>«</w:t>
      </w:r>
      <w:r>
        <w:t>7</w:t>
      </w:r>
      <w:r>
        <w:t>.  В границах водоохранных зон допускаются</w:t>
      </w:r>
      <w:r>
        <w:t>:</w:t>
      </w:r>
      <w:r>
        <w:t xml:space="preserve"> </w:t>
      </w:r>
    </w:p>
    <w:p w14:paraId="1C000000">
      <w:pPr>
        <w:widowControl w:val="0"/>
        <w:ind w:firstLine="540" w:left="0"/>
        <w:jc w:val="both"/>
        <w:outlineLvl w:val="0"/>
      </w:pPr>
      <w:r>
        <w:t>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</w:t>
      </w:r>
      <w:r>
        <w:t>».</w:t>
      </w:r>
      <w:r>
        <w:t xml:space="preserve"> </w:t>
      </w:r>
    </w:p>
    <w:p w14:paraId="1D000000">
      <w:pPr>
        <w:widowControl w:val="0"/>
        <w:ind/>
      </w:pPr>
      <w:r>
        <w:t xml:space="preserve">              2</w:t>
      </w:r>
      <w:r>
        <w:t>.</w:t>
      </w:r>
      <w:r>
        <w:t>Опубликовать (о</w:t>
      </w:r>
      <w:r>
        <w:t>бнародовать</w:t>
      </w:r>
      <w:r>
        <w:t>)</w:t>
      </w:r>
      <w:r>
        <w:t xml:space="preserve"> настоящее решение.</w:t>
      </w:r>
    </w:p>
    <w:p w14:paraId="1E000000">
      <w:pPr>
        <w:widowControl w:val="0"/>
        <w:ind/>
      </w:pPr>
    </w:p>
    <w:p w14:paraId="1F000000">
      <w:pPr>
        <w:widowControl w:val="0"/>
        <w:ind w:firstLine="0" w:left="540"/>
      </w:pPr>
    </w:p>
    <w:p w14:paraId="20000000">
      <w:pPr>
        <w:widowControl w:val="0"/>
        <w:ind/>
      </w:pPr>
      <w:r>
        <w:t>Глава городского п</w:t>
      </w:r>
      <w:r>
        <w:t>оселения</w:t>
      </w:r>
      <w:r>
        <w:t xml:space="preserve"> «Дедовичи»                                           </w:t>
      </w:r>
      <w:r>
        <w:t xml:space="preserve">            </w:t>
      </w:r>
      <w:r>
        <w:t xml:space="preserve">    </w:t>
      </w:r>
      <w:r>
        <w:t>Н</w:t>
      </w:r>
      <w:r>
        <w:t>.Ю. Елизаров</w:t>
      </w:r>
    </w:p>
    <w:sectPr>
      <w:pgSz w:h="16838" w:orient="portrait" w:w="11906"/>
      <w:pgMar w:bottom="1134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900"/>
      </w:pPr>
    </w:lvl>
    <w:lvl w:ilvl="1">
      <w:start w:val="1"/>
      <w:numFmt w:val="decimal"/>
      <w:lvlText w:val="%1.%2."/>
      <w:lvlJc w:val="left"/>
      <w:pPr>
        <w:ind w:hanging="420" w:left="960"/>
      </w:pPr>
    </w:lvl>
    <w:lvl w:ilvl="2">
      <w:start w:val="1"/>
      <w:numFmt w:val="decimal"/>
      <w:lvlText w:val="%1.%2.%3."/>
      <w:lvlJc w:val="left"/>
      <w:pPr>
        <w:ind w:hanging="720" w:left="1260"/>
      </w:pPr>
    </w:lvl>
    <w:lvl w:ilvl="3">
      <w:start w:val="1"/>
      <w:numFmt w:val="decimal"/>
      <w:lvlText w:val="%1.%2.%3.%4."/>
      <w:lvlJc w:val="left"/>
      <w:pPr>
        <w:ind w:hanging="720" w:left="1260"/>
      </w:pPr>
    </w:lvl>
    <w:lvl w:ilvl="4">
      <w:start w:val="1"/>
      <w:numFmt w:val="decimal"/>
      <w:lvlText w:val="%1.%2.%3.%4.%5."/>
      <w:lvlJc w:val="left"/>
      <w:pPr>
        <w:ind w:hanging="1080" w:left="1620"/>
      </w:pPr>
    </w:lvl>
    <w:lvl w:ilvl="5">
      <w:start w:val="1"/>
      <w:numFmt w:val="decimal"/>
      <w:lvlText w:val="%1.%2.%3.%4.%5.%6."/>
      <w:lvlJc w:val="left"/>
      <w:pPr>
        <w:ind w:hanging="1080" w:left="1620"/>
      </w:pPr>
    </w:lvl>
    <w:lvl w:ilvl="6">
      <w:start w:val="1"/>
      <w:numFmt w:val="decimal"/>
      <w:lvlText w:val="%1.%2.%3.%4.%5.%6.%7."/>
      <w:lvlJc w:val="left"/>
      <w:pPr>
        <w:ind w:hanging="1440" w:left="1980"/>
      </w:pPr>
    </w:lvl>
    <w:lvl w:ilvl="7">
      <w:start w:val="1"/>
      <w:numFmt w:val="decimal"/>
      <w:lvlText w:val="%1.%2.%3.%4.%5.%6.%7.%8."/>
      <w:lvlJc w:val="left"/>
      <w:pPr>
        <w:ind w:hanging="1440" w:left="1980"/>
      </w:pPr>
    </w:lvl>
    <w:lvl w:ilvl="8">
      <w:start w:val="1"/>
      <w:numFmt w:val="decimal"/>
      <w:lvlText w:val="%1.%2.%3.%4.%5.%6.%7.%8.%9."/>
      <w:lvlJc w:val="left"/>
      <w:pPr>
        <w:ind w:hanging="1800" w:left="2340"/>
      </w:pPr>
    </w:lvl>
  </w:abstractNum>
  <w:abstractNum w:abstractNumId="1">
    <w:lvl w:ilvl="0">
      <w:start w:val="1"/>
      <w:numFmt w:val="decimal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7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0" w:val="left"/>
        </w:tabs>
        <w:ind w:hanging="1584" w:left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Balloon Text"/>
    <w:basedOn w:val="Style_1"/>
    <w:link w:val="Style_4_ch"/>
    <w:rPr>
      <w:rFonts w:ascii="Tahoma" w:hAnsi="Tahoma"/>
      <w:sz w:val="16"/>
    </w:rPr>
  </w:style>
  <w:style w:styleId="Style_4_ch" w:type="character">
    <w:name w:val="Balloon Text"/>
    <w:basedOn w:val="Style_1_ch"/>
    <w:link w:val="Style_4"/>
    <w:rPr>
      <w:rFonts w:ascii="Tahoma" w:hAnsi="Tahoma"/>
      <w:sz w:val="16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basedOn w:val="Style_1"/>
    <w:next w:val="Style_1"/>
    <w:link w:val="Style_7_ch"/>
    <w:uiPriority w:val="9"/>
    <w:qFormat/>
    <w:pPr>
      <w:keepNext w:val="1"/>
      <w:widowControl w:val="0"/>
      <w:numPr>
        <w:ilvl w:val="2"/>
        <w:numId w:val="2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7_ch" w:type="character">
    <w:name w:val="heading 3"/>
    <w:basedOn w:val="Style_1_ch"/>
    <w:link w:val="Style_7"/>
    <w:rPr>
      <w:rFonts w:ascii="Arial" w:hAnsi="Arial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ConsPlusNormal"/>
    <w:link w:val="Style_10_ch"/>
    <w:pPr>
      <w:widowControl w:val="0"/>
      <w:ind/>
    </w:pPr>
    <w:rPr>
      <w:rFonts w:ascii="Arial" w:hAnsi="Arial"/>
    </w:rPr>
  </w:style>
  <w:style w:styleId="Style_10_ch" w:type="character">
    <w:name w:val="ConsPlusNormal"/>
    <w:link w:val="Style_10"/>
    <w:rPr>
      <w:rFonts w:ascii="Arial" w:hAnsi="Arial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no-indent"/>
    <w:basedOn w:val="Style_1"/>
    <w:link w:val="Style_12_ch"/>
    <w:pPr>
      <w:spacing w:afterAutospacing="on" w:beforeAutospacing="on"/>
      <w:ind/>
    </w:pPr>
  </w:style>
  <w:style w:styleId="Style_12_ch" w:type="character">
    <w:name w:val="no-indent"/>
    <w:basedOn w:val="Style_1_ch"/>
    <w:link w:val="Style_12"/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Для регистра"/>
    <w:basedOn w:val="Style_1"/>
    <w:link w:val="Style_19_ch"/>
    <w:pPr>
      <w:ind/>
      <w:jc w:val="both"/>
    </w:pPr>
    <w:rPr>
      <w:rFonts w:ascii="Arial" w:hAnsi="Arial"/>
      <w:sz w:val="20"/>
    </w:rPr>
  </w:style>
  <w:style w:styleId="Style_19_ch" w:type="character">
    <w:name w:val="Для регистра"/>
    <w:basedOn w:val="Style_1_ch"/>
    <w:link w:val="Style_19"/>
    <w:rPr>
      <w:rFonts w:ascii="Arial" w:hAnsi="Arial"/>
      <w:sz w:val="20"/>
    </w:rPr>
  </w:style>
  <w:style w:styleId="Style_20" w:type="paragraph">
    <w:name w:val="toc 8"/>
    <w:next w:val="Style_1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blk"/>
    <w:basedOn w:val="Style_8"/>
    <w:link w:val="Style_21_ch"/>
  </w:style>
  <w:style w:styleId="Style_21_ch" w:type="character">
    <w:name w:val="blk"/>
    <w:basedOn w:val="Style_8_ch"/>
    <w:link w:val="Style_21"/>
  </w:style>
  <w:style w:styleId="Style_22" w:type="paragraph">
    <w:name w:val="toc 5"/>
    <w:next w:val="Style_1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Normal (Web)"/>
    <w:basedOn w:val="Style_1"/>
    <w:link w:val="Style_23_ch"/>
    <w:pPr>
      <w:spacing w:afterAutospacing="on" w:beforeAutospacing="on"/>
      <w:ind/>
    </w:pPr>
  </w:style>
  <w:style w:styleId="Style_23_ch" w:type="character">
    <w:name w:val="Normal (Web)"/>
    <w:basedOn w:val="Style_1_ch"/>
    <w:link w:val="Style_23"/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2024-01-29T07:52:59Z</dcterms:modified>
</cp:coreProperties>
</file>