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7000000">
      <w:pPr>
        <w:ind/>
        <w:jc w:val="left"/>
        <w:rPr>
          <w:sz w:val="28"/>
        </w:rPr>
      </w:pPr>
    </w:p>
    <w:p w14:paraId="08000000">
      <w:pPr>
        <w:ind/>
        <w:jc w:val="left"/>
        <w:rPr>
          <w:sz w:val="22"/>
        </w:rPr>
      </w:pPr>
      <w:r>
        <w:rPr>
          <w:sz w:val="22"/>
        </w:rPr>
        <w:t xml:space="preserve">от        </w:t>
      </w:r>
      <w:r>
        <w:rPr>
          <w:sz w:val="22"/>
        </w:rPr>
        <w:t xml:space="preserve">№ </w:t>
      </w:r>
      <w:r>
        <w:rPr>
          <w:sz w:val="22"/>
        </w:rPr>
        <w:br/>
      </w:r>
      <w:r>
        <w:rPr>
          <w:sz w:val="22"/>
        </w:rPr>
        <w:t xml:space="preserve">(принято на    </w:t>
      </w:r>
      <w:r>
        <w:rPr>
          <w:sz w:val="22"/>
        </w:rPr>
        <w:t xml:space="preserve">  </w:t>
      </w:r>
      <w:r>
        <w:rPr>
          <w:sz w:val="22"/>
        </w:rPr>
        <w:t>о</w:t>
      </w:r>
      <w:r>
        <w:rPr>
          <w:sz w:val="22"/>
        </w:rPr>
        <w:t>чередном заседании</w:t>
      </w:r>
    </w:p>
    <w:p w14:paraId="09000000">
      <w:pPr>
        <w:rPr>
          <w:sz w:val="22"/>
        </w:rPr>
      </w:pPr>
      <w:r>
        <w:rPr>
          <w:sz w:val="22"/>
        </w:rPr>
        <w:t xml:space="preserve">Собрания депутатов городского поселения </w:t>
      </w:r>
    </w:p>
    <w:p w14:paraId="0A000000">
      <w:pPr>
        <w:rPr>
          <w:sz w:val="22"/>
        </w:rPr>
      </w:pPr>
      <w:r>
        <w:rPr>
          <w:sz w:val="22"/>
        </w:rPr>
        <w:t xml:space="preserve">«Дедовичи» </w:t>
      </w:r>
      <w:r>
        <w:rPr>
          <w:sz w:val="22"/>
        </w:rPr>
        <w:t>четверто</w:t>
      </w:r>
      <w:r>
        <w:rPr>
          <w:sz w:val="22"/>
        </w:rPr>
        <w:t>го созыва)</w:t>
      </w:r>
    </w:p>
    <w:p w14:paraId="0B000000">
      <w:pPr>
        <w:rPr>
          <w:sz w:val="22"/>
        </w:rPr>
      </w:pPr>
      <w:r>
        <w:rPr>
          <w:sz w:val="22"/>
        </w:rPr>
        <w:t>р</w:t>
      </w:r>
      <w:r>
        <w:rPr>
          <w:sz w:val="22"/>
        </w:rPr>
        <w:t xml:space="preserve">п. Дедовичи </w:t>
      </w:r>
    </w:p>
    <w:p w14:paraId="0C000000">
      <w:pPr>
        <w:rPr>
          <w:sz w:val="22"/>
        </w:rPr>
      </w:pPr>
    </w:p>
    <w:p w14:paraId="0D000000">
      <w:pPr>
        <w:rPr>
          <w:sz w:val="22"/>
        </w:rPr>
      </w:pPr>
    </w:p>
    <w:p w14:paraId="0E000000">
      <w:pPr>
        <w:spacing w:after="0" w:before="0" w:line="240" w:lineRule="auto"/>
        <w:ind w:firstLine="0" w:left="0" w:right="0"/>
        <w:jc w:val="left"/>
        <w:rPr>
          <w:rFonts w:ascii="Calibri" w:hAnsi="Calibri"/>
          <w:color w:val="00000A"/>
          <w:sz w:val="22"/>
        </w:rPr>
      </w:pPr>
      <w:r>
        <w:rPr>
          <w:rFonts w:ascii="Times New Roman" w:hAnsi="Times New Roman"/>
          <w:color w:val="00000A"/>
          <w:sz w:val="22"/>
        </w:rPr>
        <w:t>О согласии на преобразование муниципальных образований,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входящих </w:t>
      </w:r>
      <w:r>
        <w:rPr>
          <w:rFonts w:ascii="Times New Roman" w:hAnsi="Times New Roman"/>
          <w:color w:val="00000A"/>
          <w:sz w:val="22"/>
        </w:rPr>
        <w:t>в состав муниципального образования «Дедовичский район»,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в муниципальное образование «Дедовичский муниципальный округ 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Псковской области» </w:t>
      </w:r>
      <w:r>
        <w:rPr>
          <w:rFonts w:ascii="Times New Roman" w:hAnsi="Times New Roman"/>
          <w:color w:val="00000A"/>
          <w:sz w:val="22"/>
        </w:rPr>
        <w:t xml:space="preserve">путем их объединения </w:t>
      </w:r>
      <w:r>
        <w:rPr>
          <w:rFonts w:ascii="Times New Roman" w:hAnsi="Times New Roman"/>
          <w:color w:val="00000A"/>
          <w:sz w:val="22"/>
        </w:rPr>
        <w:t>и наделения вновь образованного муниципального образования статусом муниципального округа</w:t>
      </w:r>
    </w:p>
    <w:p w14:paraId="0F000000">
      <w:pPr>
        <w:spacing w:before="0" w:line="240" w:lineRule="auto"/>
        <w:ind/>
        <w:rPr>
          <w:sz w:val="22"/>
        </w:rPr>
      </w:pPr>
    </w:p>
    <w:p w14:paraId="10000000">
      <w:pPr>
        <w:ind w:firstLine="567" w:left="0"/>
        <w:rPr>
          <w:sz w:val="22"/>
        </w:rPr>
      </w:pPr>
    </w:p>
    <w:p w14:paraId="11000000">
      <w:pPr>
        <w:spacing w:after="0" w:before="134"/>
        <w:ind w:firstLine="709" w:left="0" w:right="0"/>
        <w:jc w:val="both"/>
        <w:rPr>
          <w:sz w:val="22"/>
        </w:rPr>
      </w:pPr>
      <w:r>
        <w:rPr>
          <w:rFonts w:ascii="Times New Roman" w:hAnsi="Times New Roman"/>
          <w:color w:val="00000A"/>
          <w:sz w:val="22"/>
        </w:rPr>
        <w:t xml:space="preserve">В соответствии со </w:t>
      </w:r>
      <w:r>
        <w:rPr>
          <w:rFonts w:ascii="Times New Roman" w:hAnsi="Times New Roman"/>
          <w:color w:val="000000"/>
          <w:sz w:val="22"/>
          <w:u w:color="000000" w:val="single"/>
        </w:rPr>
        <w:fldChar w:fldCharType="begin"/>
      </w:r>
      <w:r>
        <w:rPr>
          <w:rFonts w:ascii="Times New Roman" w:hAnsi="Times New Roman"/>
          <w:color w:val="000000"/>
          <w:sz w:val="22"/>
          <w:u w:color="000000" w:val="single"/>
        </w:rPr>
        <w:instrText>HYPERLINK "consultantplus://offline/ref=1A2B3EADBB67FB0D2B39F4E9AEA60FC2B45B8EEE754DD7757180DE0CB9FC08260D7ABD897E19B8F4718283061313D1BA00F178CCD78FB4C1I3xFM"</w:instrText>
      </w:r>
      <w:r>
        <w:rPr>
          <w:rFonts w:ascii="Times New Roman" w:hAnsi="Times New Roman"/>
          <w:color w:val="000000"/>
          <w:sz w:val="22"/>
          <w:u w:color="000000" w:val="single"/>
        </w:rPr>
        <w:fldChar w:fldCharType="separate"/>
      </w:r>
      <w:r>
        <w:rPr>
          <w:rFonts w:ascii="Times New Roman" w:hAnsi="Times New Roman"/>
          <w:color w:val="000000"/>
          <w:sz w:val="22"/>
          <w:u w:color="000000" w:val="single"/>
        </w:rPr>
        <w:t>ст. 13</w:t>
      </w:r>
      <w:r>
        <w:rPr>
          <w:rFonts w:ascii="Times New Roman" w:hAnsi="Times New Roman"/>
          <w:color w:val="000000"/>
          <w:sz w:val="22"/>
          <w:u w:color="000000" w:val="single"/>
        </w:rPr>
        <w:fldChar w:fldCharType="end"/>
      </w:r>
      <w:r>
        <w:rPr>
          <w:rFonts w:ascii="Times New Roman" w:hAnsi="Times New Roman"/>
          <w:color w:val="00000A"/>
          <w:sz w:val="22"/>
        </w:rPr>
        <w:t xml:space="preserve"> Федерального закона от 06.10.2003г. № 131-ФЗ «Об общих принципах организации местного самоуправления </w:t>
      </w:r>
      <w:r>
        <w:rPr>
          <w:rFonts w:ascii="Times New Roman" w:hAnsi="Times New Roman"/>
          <w:color w:val="00000A"/>
          <w:sz w:val="22"/>
        </w:rPr>
        <w:t>в Российской Федерации», Уставом муниципального образования «Дедовичи</w:t>
      </w:r>
      <w:r>
        <w:rPr>
          <w:rFonts w:ascii="Times New Roman" w:hAnsi="Times New Roman"/>
          <w:color w:val="00000A"/>
          <w:sz w:val="22"/>
        </w:rPr>
        <w:t>», учитывая итоги публичных слушаний по вопросу «</w:t>
      </w:r>
      <w:r>
        <w:rPr>
          <w:rFonts w:ascii="Times New Roman" w:hAnsi="Times New Roman"/>
          <w:color w:val="00000A"/>
          <w:sz w:val="22"/>
        </w:rPr>
        <w:t xml:space="preserve">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</w:t>
      </w:r>
      <w:r>
        <w:rPr>
          <w:rFonts w:ascii="Times New Roman" w:hAnsi="Times New Roman"/>
          <w:color w:val="00000A"/>
          <w:sz w:val="22"/>
        </w:rPr>
        <w:t xml:space="preserve">путем их объединения </w:t>
      </w:r>
      <w:r>
        <w:rPr>
          <w:rFonts w:ascii="Times New Roman" w:hAnsi="Times New Roman"/>
          <w:color w:val="00000A"/>
          <w:sz w:val="22"/>
        </w:rPr>
        <w:t xml:space="preserve">и наделения вновь образованного муниципального образования статусом муниципального округа, </w:t>
      </w:r>
      <w:r>
        <w:rPr>
          <w:sz w:val="22"/>
        </w:rPr>
        <w:t xml:space="preserve"> Собрание</w:t>
      </w:r>
      <w:r>
        <w:rPr>
          <w:sz w:val="22"/>
        </w:rPr>
        <w:t xml:space="preserve"> депутатов  </w:t>
      </w:r>
      <w:r>
        <w:rPr>
          <w:sz w:val="22"/>
        </w:rPr>
        <w:t xml:space="preserve">городского поселения «Дедовичи» </w:t>
      </w:r>
      <w:r>
        <w:rPr>
          <w:sz w:val="22"/>
        </w:rPr>
        <w:t>РЕШИЛО</w:t>
      </w:r>
      <w:r>
        <w:rPr>
          <w:caps w:val="1"/>
          <w:sz w:val="22"/>
        </w:rPr>
        <w:t>:</w:t>
      </w:r>
    </w:p>
    <w:p w14:paraId="12000000">
      <w:pPr>
        <w:spacing w:after="0" w:before="134"/>
        <w:ind w:firstLine="709" w:left="0" w:right="0"/>
        <w:jc w:val="both"/>
        <w:rPr>
          <w:sz w:val="22"/>
        </w:rPr>
      </w:pPr>
      <w:r>
        <w:rPr>
          <w:rFonts w:ascii="Times New Roman" w:hAnsi="Times New Roman"/>
          <w:color w:val="00000A"/>
          <w:sz w:val="22"/>
        </w:rPr>
        <w:t xml:space="preserve"> 1. Выразить согласие на преобразование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муниципальных образований, входящих в состав муниципального образования «Дедовичский район»: </w:t>
      </w:r>
      <w:r>
        <w:rPr>
          <w:rFonts w:ascii="Times New Roman" w:hAnsi="Times New Roman"/>
          <w:color w:val="00000A"/>
          <w:sz w:val="22"/>
        </w:rPr>
        <w:t>сельского поселения «</w:t>
      </w:r>
      <w:r>
        <w:rPr>
          <w:rFonts w:ascii="Times New Roman" w:hAnsi="Times New Roman"/>
          <w:color w:val="00000A"/>
          <w:sz w:val="22"/>
        </w:rPr>
        <w:t>Вязьевская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>волость», сельского поселения «</w:t>
      </w:r>
      <w:r>
        <w:rPr>
          <w:rFonts w:ascii="Times New Roman" w:hAnsi="Times New Roman"/>
          <w:color w:val="00000A"/>
          <w:sz w:val="22"/>
        </w:rPr>
        <w:t>Шелонская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>волость»</w:t>
      </w:r>
      <w:r>
        <w:rPr>
          <w:rFonts w:ascii="Times New Roman" w:hAnsi="Times New Roman"/>
          <w:color w:val="00000A"/>
          <w:sz w:val="22"/>
        </w:rPr>
        <w:t xml:space="preserve">, </w:t>
      </w:r>
      <w:r>
        <w:rPr>
          <w:rFonts w:ascii="Times New Roman" w:hAnsi="Times New Roman"/>
          <w:color w:val="00000A"/>
          <w:sz w:val="22"/>
        </w:rPr>
        <w:t>сельского поселения «</w:t>
      </w:r>
      <w:r>
        <w:rPr>
          <w:rFonts w:ascii="Times New Roman" w:hAnsi="Times New Roman"/>
          <w:color w:val="00000A"/>
          <w:sz w:val="22"/>
        </w:rPr>
        <w:t>Пожеревицкая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волость», </w:t>
      </w:r>
      <w:r>
        <w:rPr>
          <w:rFonts w:ascii="Times New Roman" w:hAnsi="Times New Roman"/>
          <w:color w:val="00000A"/>
          <w:sz w:val="22"/>
        </w:rPr>
        <w:t>городского поселения «</w:t>
      </w:r>
      <w:r>
        <w:rPr>
          <w:rFonts w:ascii="Times New Roman" w:hAnsi="Times New Roman"/>
          <w:color w:val="00000A"/>
          <w:sz w:val="22"/>
        </w:rPr>
        <w:t>Дедовичи</w:t>
      </w:r>
      <w:r>
        <w:rPr>
          <w:rFonts w:ascii="Times New Roman" w:hAnsi="Times New Roman"/>
          <w:color w:val="00000A"/>
          <w:sz w:val="22"/>
        </w:rPr>
        <w:t>»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>в муниципальное образование «Дедовичский муниципальный округ Псковской области» путем их объединения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и наделения вновь образованного муниципального образования статусом муниципального округа в границах муниципального образования «Дедовичский район», исключая общие границы муниципальных образований, входящих в состав муниципального образования «Дедовичский </w:t>
      </w:r>
      <w:r>
        <w:rPr>
          <w:rFonts w:ascii="Times New Roman" w:hAnsi="Times New Roman"/>
          <w:color w:val="00000A"/>
          <w:sz w:val="22"/>
        </w:rPr>
        <w:t>район» и административным центром в р.п Дедовичи.</w:t>
      </w:r>
    </w:p>
    <w:p w14:paraId="13000000">
      <w:pPr>
        <w:spacing w:after="0" w:before="134"/>
        <w:ind w:firstLine="709" w:left="0" w:right="0"/>
        <w:jc w:val="both"/>
        <w:rPr>
          <w:sz w:val="22"/>
        </w:rPr>
      </w:pPr>
      <w:r>
        <w:rPr>
          <w:rFonts w:ascii="Times New Roman" w:hAnsi="Times New Roman"/>
          <w:color w:val="00000A"/>
          <w:sz w:val="22"/>
        </w:rPr>
        <w:t>2. 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</w:t>
      </w:r>
      <w:r>
        <w:rPr>
          <w:rFonts w:ascii="Times New Roman" w:hAnsi="Times New Roman"/>
          <w:color w:val="00000A"/>
          <w:sz w:val="22"/>
        </w:rPr>
        <w:t xml:space="preserve"> </w:t>
      </w:r>
      <w:r>
        <w:rPr>
          <w:rFonts w:ascii="Times New Roman" w:hAnsi="Times New Roman"/>
          <w:color w:val="00000A"/>
          <w:sz w:val="22"/>
        </w:rPr>
        <w:t xml:space="preserve">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</w:t>
      </w:r>
      <w:r>
        <w:rPr>
          <w:rFonts w:ascii="Times New Roman" w:hAnsi="Times New Roman"/>
          <w:color w:val="00000A"/>
          <w:sz w:val="22"/>
        </w:rPr>
        <w:t xml:space="preserve">путем их объединения </w:t>
      </w:r>
      <w:r>
        <w:rPr>
          <w:rFonts w:ascii="Times New Roman" w:hAnsi="Times New Roman"/>
          <w:color w:val="00000A"/>
          <w:sz w:val="22"/>
        </w:rPr>
        <w:t>и наделения вновь образованного муниципального образования статусом муниципального округа.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       </w:t>
      </w:r>
      <w:r>
        <w:rPr>
          <w:rFonts w:ascii="Times New Roman" w:hAnsi="Times New Roman"/>
          <w:color w:val="00000A"/>
          <w:sz w:val="22"/>
        </w:rPr>
        <w:t xml:space="preserve">3. </w:t>
      </w:r>
      <w:r>
        <w:rPr>
          <w:rFonts w:ascii="Times New Roman" w:hAnsi="Times New Roman"/>
          <w:color w:val="00000A"/>
          <w:sz w:val="22"/>
        </w:rPr>
        <w:t>Направить настоящее решение в Собрание депутатов Дедовичского района и Собрания депутатов муниципальных образований, указанных в пункте 1 настоящего решения.</w:t>
      </w:r>
      <w:r>
        <w:rPr>
          <w:sz w:val="22"/>
        </w:rPr>
        <w:br/>
      </w:r>
      <w:r>
        <w:rPr>
          <w:rFonts w:ascii="Times New Roman" w:hAnsi="Times New Roman"/>
          <w:color w:val="00000A"/>
          <w:sz w:val="22"/>
        </w:rPr>
        <w:t xml:space="preserve">         4. </w:t>
      </w:r>
      <w:r>
        <w:rPr>
          <w:color w:val="000000"/>
          <w:sz w:val="22"/>
        </w:rPr>
        <w:t>Опубликовать настоящее решение в газете «Коммуна» и разместить на официальном сайте муниципального образования «</w:t>
      </w:r>
      <w:r>
        <w:rPr>
          <w:sz w:val="22"/>
        </w:rPr>
        <w:t>Дедович</w:t>
      </w:r>
      <w:r>
        <w:rPr>
          <w:color w:val="000000"/>
          <w:sz w:val="22"/>
        </w:rPr>
        <w:t>и» в сети  «Интернет».</w:t>
      </w:r>
    </w:p>
    <w:p w14:paraId="14000000">
      <w:pPr>
        <w:ind w:firstLine="567" w:left="0"/>
        <w:rPr>
          <w:sz w:val="22"/>
        </w:rPr>
      </w:pPr>
    </w:p>
    <w:p w14:paraId="15000000">
      <w:pPr>
        <w:ind w:firstLine="567" w:left="0"/>
        <w:rPr>
          <w:sz w:val="22"/>
        </w:rPr>
      </w:pPr>
    </w:p>
    <w:p w14:paraId="16000000">
      <w:pPr>
        <w:tabs>
          <w:tab w:leader="none" w:pos="851" w:val="left"/>
        </w:tabs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Глава городского поселения «Дедовичи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                                                            </w:t>
      </w:r>
      <w:r>
        <w:rPr>
          <w:rFonts w:ascii="Times New Roman" w:hAnsi="Times New Roman"/>
          <w:sz w:val="22"/>
        </w:rPr>
        <w:t>Н.Ю. Елизаров</w:t>
      </w:r>
    </w:p>
    <w:p w14:paraId="17000000">
      <w:pPr>
        <w:ind w:firstLine="567" w:left="0"/>
        <w:rPr>
          <w:sz w:val="22"/>
        </w:rPr>
      </w:pPr>
    </w:p>
    <w:sectPr>
      <w:pgSz w:h="16848" w:orient="portrait" w:w="11908"/>
      <w:pgMar w:bottom="1134" w:footer="708" w:gutter="0" w:header="708" w:left="1701" w:right="850" w:top="10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5"/>
      <w:lvlJc w:val="left"/>
      <w:pPr>
        <w:tabs>
          <w:tab w:leader="none" w:pos="6372" w:val="left"/>
        </w:tabs>
        <w:ind w:hanging="432" w:left="6804"/>
      </w:pPr>
    </w:lvl>
    <w:lvl w:ilvl="1">
      <w:start w:val="1"/>
      <w:numFmt w:val="decimal"/>
      <w:lvlJc w:val="left"/>
      <w:pPr>
        <w:tabs>
          <w:tab w:leader="none" w:pos="6372" w:val="left"/>
        </w:tabs>
        <w:ind w:hanging="576" w:left="6948"/>
      </w:pPr>
    </w:lvl>
    <w:lvl w:ilvl="2">
      <w:start w:val="1"/>
      <w:numFmt w:val="decimal"/>
      <w:lvlJc w:val="left"/>
      <w:pPr>
        <w:tabs>
          <w:tab w:leader="none" w:pos="6372" w:val="left"/>
        </w:tabs>
        <w:ind w:hanging="720" w:left="7092"/>
      </w:pPr>
    </w:lvl>
    <w:lvl w:ilvl="3">
      <w:start w:val="1"/>
      <w:numFmt w:val="decimal"/>
      <w:lvlJc w:val="left"/>
      <w:pPr>
        <w:tabs>
          <w:tab w:leader="none" w:pos="6372" w:val="left"/>
        </w:tabs>
        <w:ind w:hanging="864" w:left="7236"/>
      </w:pPr>
    </w:lvl>
    <w:lvl w:ilvl="4">
      <w:start w:val="1"/>
      <w:numFmt w:val="decimal"/>
      <w:lvlJc w:val="left"/>
      <w:pPr>
        <w:tabs>
          <w:tab w:leader="none" w:pos="6372" w:val="left"/>
        </w:tabs>
        <w:ind w:hanging="1008" w:left="7380"/>
      </w:pPr>
    </w:lvl>
    <w:lvl w:ilvl="5">
      <w:start w:val="1"/>
      <w:numFmt w:val="decimal"/>
      <w:lvlJc w:val="left"/>
      <w:pPr>
        <w:tabs>
          <w:tab w:leader="none" w:pos="6372" w:val="left"/>
        </w:tabs>
        <w:ind w:hanging="1152" w:left="7524"/>
      </w:pPr>
    </w:lvl>
    <w:lvl w:ilvl="6">
      <w:start w:val="1"/>
      <w:numFmt w:val="decimal"/>
      <w:lvlJc w:val="left"/>
      <w:pPr>
        <w:tabs>
          <w:tab w:leader="none" w:pos="6372" w:val="left"/>
        </w:tabs>
        <w:ind w:hanging="1296" w:left="7668"/>
      </w:pPr>
    </w:lvl>
    <w:lvl w:ilvl="7">
      <w:start w:val="1"/>
      <w:numFmt w:val="decimal"/>
      <w:lvlJc w:val="left"/>
      <w:pPr>
        <w:tabs>
          <w:tab w:leader="none" w:pos="6372" w:val="left"/>
        </w:tabs>
        <w:ind w:hanging="1440" w:left="7812"/>
      </w:pPr>
    </w:lvl>
    <w:lvl w:ilvl="8">
      <w:start w:val="1"/>
      <w:numFmt w:val="decimal"/>
      <w:lvlJc w:val="left"/>
      <w:pPr>
        <w:tabs>
          <w:tab w:leader="none" w:pos="6372" w:val="left"/>
        </w:tabs>
        <w:ind w:hanging="1584" w:left="795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WW8Num1z5"/>
    <w:link w:val="Style_3_ch"/>
  </w:style>
  <w:style w:styleId="Style_3_ch" w:type="character">
    <w:name w:val="WW8Num1z5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WW8Num1z4"/>
    <w:link w:val="Style_11_ch"/>
  </w:style>
  <w:style w:styleId="Style_11_ch" w:type="character">
    <w:name w:val="WW8Num1z4"/>
    <w:link w:val="Style_11"/>
  </w:style>
  <w:style w:styleId="Style_12" w:type="paragraph">
    <w:name w:val="WW-Absatz-Standardschriftart"/>
    <w:link w:val="Style_12_ch"/>
  </w:style>
  <w:style w:styleId="Style_12_ch" w:type="character">
    <w:name w:val="WW-Absatz-Standardschriftart"/>
    <w:link w:val="Style_12"/>
  </w:style>
  <w:style w:styleId="Style_13" w:type="paragraph">
    <w:name w:val="Balloon Text"/>
    <w:basedOn w:val="Style_1"/>
    <w:link w:val="Style_13_ch"/>
    <w:rPr>
      <w:rFonts w:ascii="Tahoma" w:hAnsi="Tahoma"/>
      <w:sz w:val="16"/>
    </w:rPr>
  </w:style>
  <w:style w:styleId="Style_13_ch" w:type="character">
    <w:name w:val="Balloon Text"/>
    <w:basedOn w:val="Style_1_ch"/>
    <w:link w:val="Style_13"/>
    <w:rPr>
      <w:rFonts w:ascii="Tahoma" w:hAnsi="Tahoma"/>
      <w:sz w:val="16"/>
    </w:rPr>
  </w:style>
  <w:style w:styleId="Style_14" w:type="paragraph">
    <w:name w:val="Абзац списка"/>
    <w:basedOn w:val="Style_1"/>
    <w:link w:val="Style_14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14_ch" w:type="character">
    <w:name w:val="Абзац списка"/>
    <w:basedOn w:val="Style_1_ch"/>
    <w:link w:val="Style_14"/>
    <w:rPr>
      <w:rFonts w:ascii="Calibri" w:hAnsi="Calibri"/>
      <w:sz w:val="22"/>
    </w:rPr>
  </w:style>
  <w:style w:styleId="Style_15" w:type="paragraph">
    <w:name w:val="toc 3"/>
    <w:next w:val="Style_1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Без интервала"/>
    <w:link w:val="Style_18_ch"/>
    <w:pPr>
      <w:spacing w:after="200" w:line="276" w:lineRule="auto"/>
      <w:ind/>
    </w:pPr>
    <w:rPr>
      <w:rFonts w:ascii="Calibri" w:hAnsi="Calibri"/>
      <w:sz w:val="22"/>
    </w:rPr>
  </w:style>
  <w:style w:styleId="Style_18_ch" w:type="character">
    <w:name w:val="Без интервала"/>
    <w:link w:val="Style_18"/>
    <w:rPr>
      <w:rFonts w:ascii="Calibri" w:hAnsi="Calibri"/>
      <w:sz w:val="22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  <w:sz w:val="24"/>
    </w:rPr>
  </w:style>
  <w:style w:styleId="Style_20_ch" w:type="character">
    <w:name w:val="ConsPlusNormal"/>
    <w:link w:val="Style_20"/>
    <w:rPr>
      <w:rFonts w:ascii="Arial" w:hAnsi="Arial"/>
      <w:sz w:val="24"/>
    </w:rPr>
  </w:style>
  <w:style w:styleId="Style_21" w:type="paragraph">
    <w:name w:val="WW8Num1z0"/>
    <w:link w:val="Style_21_ch"/>
  </w:style>
  <w:style w:styleId="Style_21_ch" w:type="character">
    <w:name w:val="WW8Num1z0"/>
    <w:link w:val="Style_21"/>
  </w:style>
  <w:style w:styleId="Style_22" w:type="paragraph">
    <w:name w:val="Указатель1"/>
    <w:basedOn w:val="Style_1"/>
    <w:link w:val="Style_22_ch"/>
  </w:style>
  <w:style w:styleId="Style_22_ch" w:type="character">
    <w:name w:val="Указатель1"/>
    <w:basedOn w:val="Style_1_ch"/>
    <w:link w:val="Style_22"/>
  </w:style>
  <w:style w:styleId="Style_23" w:type="paragraph">
    <w:name w:val="heading 5"/>
    <w:next w:val="Style_1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Название объекта1"/>
    <w:basedOn w:val="Style_1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 объекта1"/>
    <w:basedOn w:val="Style_1_ch"/>
    <w:link w:val="Style_24"/>
    <w:rPr>
      <w:i w:val="1"/>
      <w:sz w:val="24"/>
    </w:rPr>
  </w:style>
  <w:style w:styleId="Style_10" w:type="paragraph">
    <w:name w:val="Body Text"/>
    <w:basedOn w:val="Style_1"/>
    <w:link w:val="Style_10_ch"/>
  </w:style>
  <w:style w:styleId="Style_10_ch" w:type="character">
    <w:name w:val="Body Text"/>
    <w:basedOn w:val="Style_1_ch"/>
    <w:link w:val="Style_10"/>
  </w:style>
  <w:style w:styleId="Style_25" w:type="paragraph">
    <w:name w:val="heading 1"/>
    <w:basedOn w:val="Style_1"/>
    <w:next w:val="Style_1"/>
    <w:link w:val="Style_25_ch"/>
    <w:uiPriority w:val="9"/>
    <w:qFormat/>
    <w:pPr>
      <w:keepNext w:val="1"/>
      <w:numPr>
        <w:ilvl w:val="0"/>
        <w:numId w:val="1"/>
      </w:numPr>
      <w:ind/>
      <w:jc w:val="left"/>
      <w:outlineLvl w:val="0"/>
    </w:pPr>
  </w:style>
  <w:style w:styleId="Style_25_ch" w:type="character">
    <w:name w:val="heading 1"/>
    <w:basedOn w:val="Style_1_ch"/>
    <w:link w:val="Style_25"/>
  </w:style>
  <w:style w:styleId="Style_26" w:type="paragraph">
    <w:name w:val="Символ нумерации"/>
    <w:link w:val="Style_26_ch"/>
  </w:style>
  <w:style w:styleId="Style_26_ch" w:type="character">
    <w:name w:val="Символ нумерации"/>
    <w:link w:val="Style_26"/>
  </w:style>
  <w:style w:styleId="Style_27" w:type="paragraph">
    <w:name w:val="WW8Num1z1"/>
    <w:link w:val="Style_27_ch"/>
  </w:style>
  <w:style w:styleId="Style_27_ch" w:type="character">
    <w:name w:val="WW8Num1z1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WW8Num1z2"/>
    <w:link w:val="Style_32_ch"/>
  </w:style>
  <w:style w:styleId="Style_32_ch" w:type="character">
    <w:name w:val="WW8Num1z2"/>
    <w:link w:val="Style_32"/>
  </w:style>
  <w:style w:styleId="Style_33" w:type="paragraph">
    <w:name w:val="Сильное выделение"/>
    <w:link w:val="Style_33_ch"/>
    <w:rPr>
      <w:b w:val="1"/>
      <w:i w:val="1"/>
      <w:color w:val="4F81BD"/>
    </w:rPr>
  </w:style>
  <w:style w:styleId="Style_33_ch" w:type="character">
    <w:name w:val="Сильное выделение"/>
    <w:link w:val="Style_33"/>
    <w:rPr>
      <w:b w:val="1"/>
      <w:i w:val="1"/>
      <w:color w:val="4F81BD"/>
    </w:rPr>
  </w:style>
  <w:style w:styleId="Style_34" w:type="paragraph">
    <w:name w:val="WW8Num1z7"/>
    <w:link w:val="Style_34_ch"/>
  </w:style>
  <w:style w:styleId="Style_34_ch" w:type="character">
    <w:name w:val="WW8Num1z7"/>
    <w:link w:val="Style_34"/>
  </w:style>
  <w:style w:styleId="Style_35" w:type="paragraph">
    <w:name w:val="toc 9"/>
    <w:next w:val="Style_1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Standard"/>
    <w:link w:val="Style_36_ch"/>
    <w:rPr>
      <w:sz w:val="24"/>
    </w:rPr>
  </w:style>
  <w:style w:styleId="Style_36_ch" w:type="character">
    <w:name w:val="Standard"/>
    <w:link w:val="Style_36"/>
    <w:rPr>
      <w:sz w:val="24"/>
    </w:rPr>
  </w:style>
  <w:style w:styleId="Style_37" w:type="paragraph">
    <w:name w:val="toc 8"/>
    <w:next w:val="Style_1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ConsPlusTitle"/>
    <w:link w:val="Style_38_ch"/>
    <w:pPr>
      <w:widowControl w:val="0"/>
      <w:ind/>
    </w:pPr>
    <w:rPr>
      <w:rFonts w:ascii="Calibri" w:hAnsi="Calibri"/>
      <w:b w:val="1"/>
      <w:sz w:val="22"/>
    </w:rPr>
  </w:style>
  <w:style w:styleId="Style_38_ch" w:type="character">
    <w:name w:val="ConsPlusTitle"/>
    <w:link w:val="Style_38"/>
    <w:rPr>
      <w:rFonts w:ascii="Calibri" w:hAnsi="Calibri"/>
      <w:b w:val="1"/>
      <w:sz w:val="22"/>
    </w:rPr>
  </w:style>
  <w:style w:styleId="Style_39" w:type="paragraph">
    <w:name w:val="toc 5"/>
    <w:next w:val="Style_1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Absatz-Standardschriftart"/>
    <w:link w:val="Style_40_ch"/>
  </w:style>
  <w:style w:styleId="Style_40_ch" w:type="character">
    <w:name w:val="Absatz-Standardschriftart"/>
    <w:link w:val="Style_40"/>
  </w:style>
  <w:style w:styleId="Style_41" w:type="paragraph">
    <w:name w:val="WW8Num1z8"/>
    <w:link w:val="Style_41_ch"/>
  </w:style>
  <w:style w:styleId="Style_41_ch" w:type="character">
    <w:name w:val="WW8Num1z8"/>
    <w:link w:val="Style_41"/>
  </w:style>
  <w:style w:styleId="Style_42" w:type="paragraph">
    <w:name w:val="constitle"/>
    <w:basedOn w:val="Style_1"/>
    <w:link w:val="Style_42_ch"/>
    <w:pPr>
      <w:spacing w:afterAutospacing="on" w:beforeAutospacing="on"/>
      <w:ind/>
      <w:jc w:val="left"/>
    </w:pPr>
    <w:rPr>
      <w:sz w:val="24"/>
    </w:rPr>
  </w:style>
  <w:style w:styleId="Style_42_ch" w:type="character">
    <w:name w:val="constitle"/>
    <w:basedOn w:val="Style_1_ch"/>
    <w:link w:val="Style_42"/>
    <w:rPr>
      <w:sz w:val="24"/>
    </w:rPr>
  </w:style>
  <w:style w:styleId="Style_43" w:type="paragraph">
    <w:name w:val="Subtitle"/>
    <w:basedOn w:val="Style_1"/>
    <w:next w:val="Style_1"/>
    <w:link w:val="Style_43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43_ch" w:type="character">
    <w:name w:val="Subtitle"/>
    <w:basedOn w:val="Style_1_ch"/>
    <w:link w:val="Style_43"/>
    <w:rPr>
      <w:rFonts w:ascii="Cambria" w:hAnsi="Cambria"/>
      <w:sz w:val="24"/>
    </w:rPr>
  </w:style>
  <w:style w:styleId="Style_44" w:type="paragraph">
    <w:name w:val="Emphasis"/>
    <w:link w:val="Style_44_ch"/>
    <w:rPr>
      <w:i w:val="1"/>
    </w:rPr>
  </w:style>
  <w:style w:styleId="Style_44_ch" w:type="character">
    <w:name w:val="Emphasis"/>
    <w:link w:val="Style_44"/>
    <w:rPr>
      <w:i w:val="1"/>
    </w:rPr>
  </w:style>
  <w:style w:styleId="Style_45" w:type="paragraph">
    <w:name w:val="Слабое выделение"/>
    <w:link w:val="Style_45_ch"/>
    <w:rPr>
      <w:i w:val="1"/>
      <w:color w:val="808080"/>
    </w:rPr>
  </w:style>
  <w:style w:styleId="Style_45_ch" w:type="character">
    <w:name w:val="Слабое выделение"/>
    <w:link w:val="Style_45"/>
    <w:rPr>
      <w:i w:val="1"/>
      <w:color w:val="808080"/>
    </w:rPr>
  </w:style>
  <w:style w:styleId="Style_46" w:type="paragraph">
    <w:name w:val="Title"/>
    <w:next w:val="Style_1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1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Указатель2"/>
    <w:basedOn w:val="Style_1"/>
    <w:link w:val="Style_48_ch"/>
  </w:style>
  <w:style w:styleId="Style_48_ch" w:type="character">
    <w:name w:val="Указатель2"/>
    <w:basedOn w:val="Style_1_ch"/>
    <w:link w:val="Style_48"/>
  </w:style>
  <w:style w:styleId="Style_49" w:type="paragraph">
    <w:name w:val="caption"/>
    <w:basedOn w:val="Style_1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caption"/>
    <w:basedOn w:val="Style_1_ch"/>
    <w:link w:val="Style_49"/>
    <w:rPr>
      <w:i w:val="1"/>
      <w:sz w:val="24"/>
    </w:rPr>
  </w:style>
  <w:style w:styleId="Style_50" w:type="paragraph">
    <w:name w:val="heading 2"/>
    <w:next w:val="Style_1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Заголовок"/>
    <w:basedOn w:val="Style_1"/>
    <w:next w:val="Style_10"/>
    <w:link w:val="Style_51_ch"/>
    <w:pPr>
      <w:keepNext w:val="1"/>
      <w:spacing w:after="120" w:before="240"/>
      <w:ind/>
    </w:pPr>
    <w:rPr>
      <w:rFonts w:ascii="Arial" w:hAnsi="Arial"/>
      <w:sz w:val="28"/>
    </w:rPr>
  </w:style>
  <w:style w:styleId="Style_51_ch" w:type="character">
    <w:name w:val="Заголовок"/>
    <w:basedOn w:val="Style_1_ch"/>
    <w:link w:val="Style_51"/>
    <w:rPr>
      <w:rFonts w:ascii="Arial" w:hAnsi="Arial"/>
      <w:sz w:val="28"/>
    </w:rPr>
  </w:style>
  <w:style w:styleId="Style_52" w:type="paragraph">
    <w:name w:val="WW8Num1z6"/>
    <w:link w:val="Style_52_ch"/>
  </w:style>
  <w:style w:styleId="Style_52_ch" w:type="character">
    <w:name w:val="WW8Num1z6"/>
    <w:link w:val="Style_52"/>
  </w:style>
  <w:style w:styleId="Style_53" w:type="paragraph">
    <w:name w:val="WW8Num1z3"/>
    <w:link w:val="Style_53_ch"/>
  </w:style>
  <w:style w:styleId="Style_53_ch" w:type="character">
    <w:name w:val="WW8Num1z3"/>
    <w:link w:val="Style_53"/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2024-12-09T06:33:44Z</dcterms:modified>
</cp:coreProperties>
</file>